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BB5FD" w14:textId="084D29F1" w:rsidR="00936FD1" w:rsidRPr="00166C9B" w:rsidRDefault="007C01DB" w:rsidP="00936FD1">
      <w:pPr>
        <w:pStyle w:val="CourtName"/>
        <w:rPr>
          <w:b/>
          <w:sz w:val="24"/>
          <w:szCs w:val="24"/>
        </w:rPr>
      </w:pPr>
      <w:bookmarkStart w:id="0" w:name="lblUSDC"/>
      <w:bookmarkStart w:id="1" w:name="CourtName"/>
      <w:bookmarkStart w:id="2" w:name="Caption"/>
      <w:r w:rsidRPr="00166C9B">
        <w:rPr>
          <w:b/>
          <w:sz w:val="24"/>
          <w:szCs w:val="24"/>
        </w:rPr>
        <w:t>IN THE UNITED STATES DISTRICT COURt</w:t>
      </w:r>
      <w:bookmarkEnd w:id="0"/>
      <w:r w:rsidRPr="00166C9B">
        <w:rPr>
          <w:b/>
          <w:sz w:val="24"/>
          <w:szCs w:val="24"/>
        </w:rPr>
        <w:br/>
        <w:t xml:space="preserve">for THE </w:t>
      </w:r>
      <w:bookmarkEnd w:id="1"/>
      <w:r w:rsidR="00DB1AD8" w:rsidRPr="00166C9B">
        <w:rPr>
          <w:b/>
          <w:sz w:val="24"/>
          <w:szCs w:val="24"/>
        </w:rPr>
        <w:t>[district where detained]</w:t>
      </w:r>
    </w:p>
    <w:tbl>
      <w:tblPr>
        <w:tblW w:w="8797" w:type="dxa"/>
        <w:tblLayout w:type="fixed"/>
        <w:tblCellMar>
          <w:left w:w="0" w:type="dxa"/>
          <w:right w:w="0" w:type="dxa"/>
        </w:tblCellMar>
        <w:tblLook w:val="0000" w:firstRow="0" w:lastRow="0" w:firstColumn="0" w:lastColumn="0" w:noHBand="0" w:noVBand="0"/>
      </w:tblPr>
      <w:tblGrid>
        <w:gridCol w:w="4843"/>
        <w:gridCol w:w="113"/>
        <w:gridCol w:w="3841"/>
      </w:tblGrid>
      <w:tr w:rsidR="00721C4E" w:rsidRPr="003A2DBD" w14:paraId="2350D89E" w14:textId="77777777" w:rsidTr="00DB1AD8">
        <w:trPr>
          <w:cantSplit/>
          <w:trHeight w:val="6569"/>
        </w:trPr>
        <w:tc>
          <w:tcPr>
            <w:tcW w:w="4843" w:type="dxa"/>
            <w:tcMar>
              <w:left w:w="115" w:type="dxa"/>
              <w:right w:w="115" w:type="dxa"/>
            </w:tcMar>
          </w:tcPr>
          <w:p w14:paraId="6AF1F36C" w14:textId="255AFB8F" w:rsidR="00721C4E" w:rsidRPr="00721C4E" w:rsidRDefault="00721C4E" w:rsidP="00721C4E">
            <w:pPr>
              <w:pStyle w:val="Parties"/>
              <w:rPr>
                <w:b/>
                <w:sz w:val="24"/>
                <w:szCs w:val="24"/>
              </w:rPr>
            </w:pPr>
            <w:r w:rsidRPr="00721C4E">
              <w:rPr>
                <w:b/>
                <w:sz w:val="24"/>
                <w:szCs w:val="24"/>
                <w:highlight w:val="yellow"/>
              </w:rPr>
              <w:t>Petitioner’s name</w:t>
            </w:r>
          </w:p>
          <w:p w14:paraId="5F145684" w14:textId="77777777" w:rsidR="00721C4E" w:rsidRPr="00197AFB" w:rsidRDefault="00721C4E" w:rsidP="00721C4E">
            <w:pPr>
              <w:pStyle w:val="Parties"/>
              <w:rPr>
                <w:sz w:val="24"/>
                <w:szCs w:val="24"/>
              </w:rPr>
            </w:pPr>
          </w:p>
          <w:p w14:paraId="2A47EF87" w14:textId="77777777" w:rsidR="00721C4E" w:rsidRPr="00197AFB" w:rsidRDefault="00721C4E" w:rsidP="00721C4E">
            <w:pPr>
              <w:pStyle w:val="PartyType"/>
              <w:rPr>
                <w:sz w:val="24"/>
                <w:szCs w:val="24"/>
              </w:rPr>
            </w:pPr>
            <w:r w:rsidRPr="00197AFB">
              <w:rPr>
                <w:sz w:val="24"/>
                <w:szCs w:val="24"/>
              </w:rPr>
              <w:t>Petitioner,</w:t>
            </w:r>
          </w:p>
          <w:p w14:paraId="24BCE543" w14:textId="77777777" w:rsidR="00721C4E" w:rsidRPr="00197AFB" w:rsidRDefault="00721C4E" w:rsidP="00721C4E">
            <w:pPr>
              <w:pStyle w:val="Parties"/>
              <w:rPr>
                <w:sz w:val="24"/>
                <w:szCs w:val="24"/>
              </w:rPr>
            </w:pPr>
          </w:p>
          <w:p w14:paraId="7DB3FF4C" w14:textId="77777777" w:rsidR="00721C4E" w:rsidRPr="00197AFB" w:rsidRDefault="00721C4E" w:rsidP="00721C4E">
            <w:pPr>
              <w:pStyle w:val="versus"/>
              <w:rPr>
                <w:sz w:val="24"/>
                <w:szCs w:val="24"/>
              </w:rPr>
            </w:pPr>
            <w:bookmarkStart w:id="3" w:name="lblVersus"/>
            <w:r w:rsidRPr="00197AFB">
              <w:rPr>
                <w:sz w:val="24"/>
                <w:szCs w:val="24"/>
              </w:rPr>
              <w:t>v.</w:t>
            </w:r>
            <w:bookmarkEnd w:id="3"/>
          </w:p>
          <w:p w14:paraId="7D55FD24" w14:textId="77777777" w:rsidR="00721C4E" w:rsidRPr="00197AFB" w:rsidRDefault="00721C4E" w:rsidP="00721C4E">
            <w:pPr>
              <w:pStyle w:val="Parties"/>
              <w:rPr>
                <w:sz w:val="24"/>
                <w:szCs w:val="24"/>
              </w:rPr>
            </w:pPr>
          </w:p>
          <w:p w14:paraId="66DD5C11" w14:textId="77777777" w:rsidR="00721C4E" w:rsidRPr="00197AFB" w:rsidRDefault="00721C4E" w:rsidP="00721C4E">
            <w:pPr>
              <w:pStyle w:val="Parties"/>
              <w:rPr>
                <w:sz w:val="24"/>
                <w:szCs w:val="24"/>
              </w:rPr>
            </w:pPr>
            <w:r w:rsidRPr="003B23EA">
              <w:rPr>
                <w:sz w:val="24"/>
                <w:szCs w:val="24"/>
                <w:highlight w:val="yellow"/>
              </w:rPr>
              <w:t>[Warden of detention facility]</w:t>
            </w:r>
            <w:r w:rsidRPr="008058A5">
              <w:rPr>
                <w:sz w:val="24"/>
                <w:szCs w:val="24"/>
                <w:highlight w:val="yellow"/>
              </w:rPr>
              <w:t>; [ICE District Director];</w:t>
            </w:r>
            <w:r>
              <w:rPr>
                <w:sz w:val="24"/>
                <w:szCs w:val="24"/>
              </w:rPr>
              <w:t xml:space="preserve"> </w:t>
            </w:r>
            <w:r w:rsidRPr="00197AFB">
              <w:rPr>
                <w:sz w:val="24"/>
                <w:szCs w:val="24"/>
              </w:rPr>
              <w:t>John F. Kelly, in his capacity as Secretary of Homeland Security; Jefferson Beauregard Sessions III in his capacity as Attorney General of the United States,</w:t>
            </w:r>
          </w:p>
          <w:p w14:paraId="5521DA1B" w14:textId="77777777" w:rsidR="00721C4E" w:rsidRPr="00197AFB" w:rsidRDefault="00721C4E" w:rsidP="00721C4E">
            <w:pPr>
              <w:pStyle w:val="Parties"/>
              <w:rPr>
                <w:sz w:val="24"/>
                <w:szCs w:val="24"/>
              </w:rPr>
            </w:pPr>
          </w:p>
          <w:p w14:paraId="0EB92729" w14:textId="77777777" w:rsidR="00721C4E" w:rsidRPr="00197AFB" w:rsidRDefault="00721C4E" w:rsidP="00721C4E">
            <w:pPr>
              <w:pStyle w:val="PartyType"/>
              <w:rPr>
                <w:sz w:val="24"/>
                <w:szCs w:val="24"/>
              </w:rPr>
            </w:pPr>
            <w:r w:rsidRPr="00197AFB">
              <w:rPr>
                <w:sz w:val="24"/>
                <w:szCs w:val="24"/>
              </w:rPr>
              <w:t>Respondents.</w:t>
            </w:r>
          </w:p>
          <w:p w14:paraId="0227F8AF" w14:textId="77777777" w:rsidR="00721C4E" w:rsidRPr="003A2DBD" w:rsidRDefault="00721C4E" w:rsidP="00721C4E">
            <w:pPr>
              <w:pStyle w:val="SingleSpacing"/>
              <w:tabs>
                <w:tab w:val="left" w:pos="1440"/>
              </w:tabs>
              <w:rPr>
                <w:sz w:val="24"/>
                <w:szCs w:val="24"/>
              </w:rPr>
            </w:pPr>
          </w:p>
        </w:tc>
        <w:tc>
          <w:tcPr>
            <w:tcW w:w="113" w:type="dxa"/>
            <w:tcBorders>
              <w:left w:val="nil"/>
            </w:tcBorders>
          </w:tcPr>
          <w:p w14:paraId="19674B94" w14:textId="77777777" w:rsidR="00721C4E" w:rsidRPr="00197AFB" w:rsidRDefault="00721C4E" w:rsidP="00721C4E">
            <w:pPr>
              <w:pStyle w:val="border"/>
              <w:rPr>
                <w:rFonts w:cs="Courier New"/>
                <w:sz w:val="24"/>
                <w:szCs w:val="24"/>
              </w:rPr>
            </w:pPr>
            <w:r w:rsidRPr="00197AFB">
              <w:rPr>
                <w:rFonts w:ascii="Courier New" w:eastAsia="Courier New" w:hAnsi="Courier New" w:cs="Courier New"/>
                <w:sz w:val="24"/>
                <w:szCs w:val="24"/>
              </w:rPr>
              <w:t>))))</w:t>
            </w:r>
          </w:p>
          <w:p w14:paraId="2ACB3BD1" w14:textId="77777777" w:rsidR="00721C4E" w:rsidRPr="00197AFB" w:rsidRDefault="00721C4E" w:rsidP="00721C4E">
            <w:pPr>
              <w:pStyle w:val="border"/>
              <w:rPr>
                <w:rFonts w:cs="Courier New"/>
                <w:sz w:val="24"/>
                <w:szCs w:val="24"/>
              </w:rPr>
            </w:pPr>
            <w:r w:rsidRPr="00197AFB">
              <w:rPr>
                <w:rFonts w:ascii="Courier New" w:eastAsia="Courier New" w:hAnsi="Courier New" w:cs="Courier New"/>
                <w:sz w:val="24"/>
                <w:szCs w:val="24"/>
              </w:rPr>
              <w:t>)</w:t>
            </w:r>
          </w:p>
          <w:p w14:paraId="51C28C9A" w14:textId="77777777" w:rsidR="00721C4E" w:rsidRPr="00197AFB" w:rsidRDefault="00721C4E" w:rsidP="00721C4E">
            <w:pPr>
              <w:pStyle w:val="border"/>
              <w:rPr>
                <w:rFonts w:cs="Courier New"/>
                <w:sz w:val="24"/>
                <w:szCs w:val="24"/>
              </w:rPr>
            </w:pPr>
            <w:r w:rsidRPr="00197AFB">
              <w:rPr>
                <w:rFonts w:ascii="Courier New" w:eastAsia="Courier New" w:hAnsi="Courier New" w:cs="Courier New"/>
                <w:sz w:val="24"/>
                <w:szCs w:val="24"/>
              </w:rPr>
              <w:t>)</w:t>
            </w:r>
          </w:p>
          <w:p w14:paraId="06BE1C03" w14:textId="2F98DB52" w:rsidR="00721C4E" w:rsidRPr="003A2DBD" w:rsidRDefault="00721C4E" w:rsidP="00721C4E">
            <w:pPr>
              <w:pStyle w:val="border"/>
              <w:rPr>
                <w:rFonts w:cs="Courier New"/>
                <w:sz w:val="24"/>
                <w:szCs w:val="24"/>
              </w:rPr>
            </w:pPr>
            <w:r w:rsidRPr="00197AFB">
              <w:rPr>
                <w:rFonts w:ascii="Courier New" w:eastAsia="Courier New" w:hAnsi="Courier New" w:cs="Courier New"/>
                <w:sz w:val="24"/>
                <w:szCs w:val="24"/>
              </w:rPr>
              <w:t>)))))))))))</w:t>
            </w:r>
          </w:p>
        </w:tc>
        <w:tc>
          <w:tcPr>
            <w:tcW w:w="3841" w:type="dxa"/>
          </w:tcPr>
          <w:p w14:paraId="48182B1B" w14:textId="77777777" w:rsidR="00721C4E" w:rsidRPr="00197AFB" w:rsidRDefault="00721C4E" w:rsidP="00721C4E">
            <w:pPr>
              <w:pStyle w:val="CaseNo"/>
              <w:rPr>
                <w:sz w:val="24"/>
                <w:szCs w:val="24"/>
              </w:rPr>
            </w:pPr>
          </w:p>
          <w:p w14:paraId="623A83F9" w14:textId="77777777" w:rsidR="00721C4E" w:rsidRPr="00197AFB" w:rsidRDefault="00721C4E" w:rsidP="00721C4E">
            <w:pPr>
              <w:pStyle w:val="CaseNo"/>
              <w:rPr>
                <w:sz w:val="24"/>
                <w:szCs w:val="24"/>
              </w:rPr>
            </w:pPr>
          </w:p>
          <w:p w14:paraId="79E5C723" w14:textId="77777777" w:rsidR="00721C4E" w:rsidRPr="00197AFB" w:rsidRDefault="00721C4E" w:rsidP="00721C4E">
            <w:pPr>
              <w:pStyle w:val="CaseNo"/>
              <w:rPr>
                <w:sz w:val="24"/>
                <w:szCs w:val="24"/>
              </w:rPr>
            </w:pPr>
          </w:p>
          <w:p w14:paraId="7F158831" w14:textId="77777777" w:rsidR="00721C4E" w:rsidRPr="00197AFB" w:rsidRDefault="00721C4E" w:rsidP="00721C4E">
            <w:pPr>
              <w:pStyle w:val="CaseNo"/>
              <w:rPr>
                <w:sz w:val="24"/>
                <w:szCs w:val="24"/>
              </w:rPr>
            </w:pPr>
          </w:p>
          <w:p w14:paraId="13B50A17" w14:textId="7816B104" w:rsidR="00721C4E" w:rsidRPr="003A2DBD" w:rsidRDefault="00721C4E" w:rsidP="00721C4E">
            <w:pPr>
              <w:pStyle w:val="CaseNo"/>
              <w:rPr>
                <w:sz w:val="24"/>
                <w:szCs w:val="24"/>
              </w:rPr>
            </w:pPr>
            <w:bookmarkStart w:id="4" w:name="lblCaseNumberH"/>
            <w:r w:rsidRPr="00197AFB">
              <w:rPr>
                <w:sz w:val="24"/>
                <w:szCs w:val="24"/>
              </w:rPr>
              <w:t>Case No.</w:t>
            </w:r>
            <w:bookmarkEnd w:id="4"/>
            <w:r w:rsidRPr="00197AFB">
              <w:rPr>
                <w:sz w:val="24"/>
                <w:szCs w:val="24"/>
              </w:rPr>
              <w:t xml:space="preserve"> ______________</w:t>
            </w:r>
          </w:p>
        </w:tc>
      </w:tr>
    </w:tbl>
    <w:p w14:paraId="6F92EB14" w14:textId="77777777" w:rsidR="00936FD1" w:rsidRPr="003A2DBD" w:rsidRDefault="00936FD1" w:rsidP="00936FD1">
      <w:pPr>
        <w:rPr>
          <w:sz w:val="24"/>
          <w:szCs w:val="24"/>
        </w:rPr>
      </w:pPr>
    </w:p>
    <w:bookmarkEnd w:id="2"/>
    <w:p w14:paraId="72515B9E" w14:textId="73A25AFE" w:rsidR="00936FD1" w:rsidRPr="003A2DBD" w:rsidRDefault="5A2F9B48" w:rsidP="00936FD1">
      <w:pPr>
        <w:pStyle w:val="PleadingTitleCentered"/>
        <w:rPr>
          <w:sz w:val="24"/>
          <w:szCs w:val="24"/>
        </w:rPr>
      </w:pPr>
      <w:r w:rsidRPr="003A2DBD">
        <w:rPr>
          <w:sz w:val="24"/>
          <w:szCs w:val="24"/>
        </w:rPr>
        <w:t>petition for writ of habeas corpus</w:t>
      </w:r>
    </w:p>
    <w:p w14:paraId="3634B841" w14:textId="77777777" w:rsidR="00936FD1" w:rsidRPr="003A2DBD" w:rsidRDefault="007C01DB">
      <w:pPr>
        <w:rPr>
          <w:sz w:val="24"/>
          <w:szCs w:val="24"/>
        </w:rPr>
      </w:pPr>
      <w:r w:rsidRPr="003A2DBD">
        <w:rPr>
          <w:sz w:val="24"/>
          <w:szCs w:val="24"/>
        </w:rPr>
        <w:br w:type="page"/>
      </w:r>
    </w:p>
    <w:p w14:paraId="3DED43B8" w14:textId="77777777" w:rsidR="000964FB" w:rsidRPr="003A2DBD" w:rsidRDefault="000964FB" w:rsidP="0074449A">
      <w:pPr>
        <w:spacing w:line="480" w:lineRule="auto"/>
        <w:contextualSpacing/>
        <w:jc w:val="center"/>
        <w:rPr>
          <w:b/>
          <w:bCs/>
          <w:sz w:val="24"/>
          <w:szCs w:val="24"/>
        </w:rPr>
      </w:pPr>
      <w:r w:rsidRPr="003A2DBD">
        <w:rPr>
          <w:b/>
          <w:bCs/>
          <w:sz w:val="24"/>
          <w:szCs w:val="24"/>
        </w:rPr>
        <w:lastRenderedPageBreak/>
        <w:t xml:space="preserve">PRELIMINARY STATEMENT </w:t>
      </w:r>
    </w:p>
    <w:p w14:paraId="2874EEEA" w14:textId="77777777" w:rsidR="00B55DC4" w:rsidRPr="00197AFB" w:rsidRDefault="00B55DC4" w:rsidP="00B55DC4">
      <w:pPr>
        <w:pStyle w:val="ListParagraph"/>
        <w:numPr>
          <w:ilvl w:val="0"/>
          <w:numId w:val="32"/>
        </w:numPr>
        <w:spacing w:line="480" w:lineRule="auto"/>
        <w:ind w:left="0" w:firstLine="0"/>
        <w:rPr>
          <w:b/>
          <w:sz w:val="24"/>
          <w:szCs w:val="24"/>
        </w:rPr>
      </w:pPr>
      <w:r w:rsidRPr="00197AFB">
        <w:rPr>
          <w:sz w:val="24"/>
          <w:szCs w:val="24"/>
        </w:rPr>
        <w:t>This case challenges the government’s authority to indefinitely detain a noncitizen without any finding of dangerousness or flight risk. It asks that this Court grant the petitioner release from prolonged immigration detention or a bond hearing before a neutral arbiter.</w:t>
      </w:r>
    </w:p>
    <w:p w14:paraId="28FE5B3B" w14:textId="77777777" w:rsidR="00B55DC4" w:rsidRPr="00197AFB" w:rsidRDefault="00B55DC4" w:rsidP="00B55DC4">
      <w:pPr>
        <w:pStyle w:val="ListParagraph"/>
        <w:numPr>
          <w:ilvl w:val="0"/>
          <w:numId w:val="32"/>
        </w:numPr>
        <w:spacing w:line="480" w:lineRule="auto"/>
        <w:ind w:left="0" w:firstLine="0"/>
        <w:rPr>
          <w:b/>
          <w:sz w:val="24"/>
          <w:szCs w:val="24"/>
        </w:rPr>
      </w:pPr>
      <w:r>
        <w:rPr>
          <w:sz w:val="24"/>
          <w:szCs w:val="24"/>
        </w:rPr>
        <w:t>P</w:t>
      </w:r>
      <w:r w:rsidRPr="00197AFB">
        <w:rPr>
          <w:sz w:val="24"/>
          <w:szCs w:val="24"/>
        </w:rPr>
        <w:t xml:space="preserve">etitioner </w:t>
      </w:r>
      <w:r w:rsidRPr="00197AFB">
        <w:rPr>
          <w:bCs/>
          <w:sz w:val="24"/>
          <w:szCs w:val="24"/>
        </w:rPr>
        <w:t xml:space="preserve">is </w:t>
      </w:r>
      <w:r w:rsidRPr="007A5652">
        <w:rPr>
          <w:bCs/>
          <w:sz w:val="24"/>
          <w:szCs w:val="24"/>
          <w:highlight w:val="yellow"/>
        </w:rPr>
        <w:t>[personal characteristics, including basis for asylum/immigration claim, fact that he passed CFI</w:t>
      </w:r>
      <w:r>
        <w:rPr>
          <w:bCs/>
          <w:sz w:val="24"/>
          <w:szCs w:val="24"/>
          <w:highlight w:val="yellow"/>
        </w:rPr>
        <w:t xml:space="preserve"> or is a longtime LPR</w:t>
      </w:r>
      <w:r w:rsidRPr="007A5652">
        <w:rPr>
          <w:bCs/>
          <w:sz w:val="24"/>
          <w:szCs w:val="24"/>
          <w:highlight w:val="yellow"/>
        </w:rPr>
        <w:t>.]</w:t>
      </w:r>
      <w:r w:rsidRPr="00197AFB">
        <w:rPr>
          <w:bCs/>
          <w:sz w:val="24"/>
          <w:szCs w:val="24"/>
        </w:rPr>
        <w:t xml:space="preserve"> </w:t>
      </w:r>
    </w:p>
    <w:p w14:paraId="40FEA034" w14:textId="77777777" w:rsidR="00B55DC4" w:rsidRPr="00197AFB" w:rsidRDefault="00B55DC4" w:rsidP="00B55DC4">
      <w:pPr>
        <w:pStyle w:val="ListParagraph"/>
        <w:numPr>
          <w:ilvl w:val="0"/>
          <w:numId w:val="32"/>
        </w:numPr>
        <w:spacing w:line="480" w:lineRule="auto"/>
        <w:ind w:left="0" w:firstLine="0"/>
        <w:rPr>
          <w:b/>
          <w:sz w:val="24"/>
          <w:szCs w:val="24"/>
        </w:rPr>
      </w:pPr>
      <w:r w:rsidRPr="00197AFB">
        <w:rPr>
          <w:rFonts w:cs="Times New Roman"/>
          <w:sz w:val="24"/>
          <w:szCs w:val="24"/>
        </w:rPr>
        <w:t xml:space="preserve">As of the date of this Petition, </w:t>
      </w:r>
      <w:r w:rsidRPr="00197AFB">
        <w:rPr>
          <w:sz w:val="24"/>
          <w:szCs w:val="24"/>
        </w:rPr>
        <w:t xml:space="preserve">petitioner </w:t>
      </w:r>
      <w:r w:rsidRPr="00197AFB">
        <w:rPr>
          <w:rFonts w:cs="Times New Roman"/>
          <w:sz w:val="24"/>
          <w:szCs w:val="24"/>
        </w:rPr>
        <w:t xml:space="preserve">has been detained by Immigration and Customs Enforcement (“ICE”) for over </w:t>
      </w:r>
      <w:r w:rsidRPr="004F2F92">
        <w:rPr>
          <w:rFonts w:cs="Times New Roman"/>
          <w:sz w:val="24"/>
          <w:szCs w:val="24"/>
          <w:highlight w:val="yellow"/>
        </w:rPr>
        <w:t>__</w:t>
      </w:r>
      <w:r w:rsidRPr="00197AFB">
        <w:rPr>
          <w:rFonts w:cs="Times New Roman"/>
          <w:sz w:val="24"/>
          <w:szCs w:val="24"/>
        </w:rPr>
        <w:t xml:space="preserve"> months, with no end to </w:t>
      </w:r>
      <w:r w:rsidRPr="00197AFB">
        <w:rPr>
          <w:sz w:val="24"/>
          <w:szCs w:val="24"/>
        </w:rPr>
        <w:t>petitioner</w:t>
      </w:r>
      <w:r>
        <w:rPr>
          <w:sz w:val="24"/>
          <w:szCs w:val="24"/>
        </w:rPr>
        <w:t>’s</w:t>
      </w:r>
      <w:r w:rsidRPr="00197AFB">
        <w:rPr>
          <w:sz w:val="24"/>
          <w:szCs w:val="24"/>
        </w:rPr>
        <w:t xml:space="preserve"> </w:t>
      </w:r>
      <w:r w:rsidRPr="00197AFB">
        <w:rPr>
          <w:rFonts w:cs="Times New Roman"/>
          <w:sz w:val="24"/>
          <w:szCs w:val="24"/>
        </w:rPr>
        <w:t xml:space="preserve">detention in the reasonably foreseeable future. </w:t>
      </w:r>
      <w:r>
        <w:rPr>
          <w:sz w:val="24"/>
          <w:szCs w:val="24"/>
        </w:rPr>
        <w:t>P</w:t>
      </w:r>
      <w:r w:rsidRPr="00197AFB">
        <w:rPr>
          <w:sz w:val="24"/>
          <w:szCs w:val="24"/>
        </w:rPr>
        <w:t xml:space="preserve">etitioner was originally detained and placed in removal proceedings by ICE on or about </w:t>
      </w:r>
      <w:r w:rsidRPr="008911AE">
        <w:rPr>
          <w:sz w:val="24"/>
          <w:szCs w:val="24"/>
          <w:highlight w:val="yellow"/>
        </w:rPr>
        <w:t>[date]</w:t>
      </w:r>
      <w:r w:rsidRPr="00197AFB">
        <w:rPr>
          <w:sz w:val="24"/>
          <w:szCs w:val="24"/>
        </w:rPr>
        <w:t xml:space="preserve">.   </w:t>
      </w:r>
    </w:p>
    <w:p w14:paraId="0354C675" w14:textId="77777777" w:rsidR="00B55DC4" w:rsidRPr="00197AFB" w:rsidRDefault="00B55DC4" w:rsidP="00B55DC4">
      <w:pPr>
        <w:pStyle w:val="ListParagraph"/>
        <w:numPr>
          <w:ilvl w:val="0"/>
          <w:numId w:val="32"/>
        </w:numPr>
        <w:spacing w:line="480" w:lineRule="auto"/>
        <w:ind w:left="0" w:firstLine="0"/>
        <w:rPr>
          <w:b/>
          <w:sz w:val="24"/>
          <w:szCs w:val="24"/>
        </w:rPr>
      </w:pPr>
      <w:r w:rsidRPr="00197AFB">
        <w:rPr>
          <w:rFonts w:cs="Times New Roman"/>
          <w:sz w:val="24"/>
          <w:szCs w:val="24"/>
        </w:rPr>
        <w:t xml:space="preserve">ICE claims </w:t>
      </w:r>
      <w:r w:rsidRPr="00197AFB">
        <w:rPr>
          <w:rFonts w:eastAsia="Times New Roman" w:cs="Times New Roman"/>
          <w:sz w:val="24"/>
          <w:szCs w:val="24"/>
        </w:rPr>
        <w:t xml:space="preserve">the authority to indefinitely detain </w:t>
      </w:r>
      <w:r w:rsidRPr="00197AFB">
        <w:rPr>
          <w:sz w:val="24"/>
          <w:szCs w:val="24"/>
        </w:rPr>
        <w:t xml:space="preserve">petitioner </w:t>
      </w:r>
      <w:r w:rsidRPr="00197AFB">
        <w:rPr>
          <w:rFonts w:eastAsia="Times New Roman" w:cs="Times New Roman"/>
          <w:sz w:val="24"/>
          <w:szCs w:val="24"/>
        </w:rPr>
        <w:t xml:space="preserve">without a bond hearing under the Immigration and Nationality Act (“INA”) § 235(b), 8 U.S.C. </w:t>
      </w:r>
      <w:r w:rsidRPr="00197AFB">
        <w:rPr>
          <w:rFonts w:ascii="Times New Roman" w:hAnsi="Times New Roman" w:cs="Times New Roman"/>
          <w:sz w:val="24"/>
          <w:szCs w:val="24"/>
        </w:rPr>
        <w:t xml:space="preserve">§ </w:t>
      </w:r>
      <w:r w:rsidRPr="00197AFB">
        <w:rPr>
          <w:rFonts w:eastAsia="Times New Roman" w:cs="Times New Roman"/>
          <w:sz w:val="24"/>
          <w:szCs w:val="24"/>
        </w:rPr>
        <w:t xml:space="preserve">1225(b). In separate subsections, that statute provides for the detention of asylum seekers who pass a credible fear interview “for further consideration of the application for asylum,” </w:t>
      </w:r>
      <w:r w:rsidRPr="00197AFB">
        <w:rPr>
          <w:rFonts w:eastAsia="Times New Roman" w:cs="Times New Roman"/>
          <w:sz w:val="24"/>
          <w:szCs w:val="24"/>
          <w:u w:val="single"/>
        </w:rPr>
        <w:t>id.</w:t>
      </w:r>
      <w:r w:rsidRPr="00197AFB">
        <w:rPr>
          <w:rFonts w:eastAsia="Times New Roman" w:cs="Times New Roman"/>
          <w:sz w:val="24"/>
          <w:szCs w:val="24"/>
        </w:rPr>
        <w:t xml:space="preserve"> § 1225(b)(1)(B)(ii), as well as detention of all other noncitizens whom an immigration official believes are not “clearly and beyond a doubt entitled to admission for a proceeding under 1229a of this title [removal proceedings before an immigration judge].” </w:t>
      </w:r>
      <w:r w:rsidRPr="00197AFB">
        <w:rPr>
          <w:rFonts w:eastAsia="Times New Roman" w:cs="Times New Roman"/>
          <w:sz w:val="24"/>
          <w:szCs w:val="24"/>
          <w:u w:val="single"/>
        </w:rPr>
        <w:t>id.</w:t>
      </w:r>
      <w:r w:rsidRPr="00197AFB">
        <w:rPr>
          <w:rFonts w:eastAsia="Times New Roman" w:cs="Times New Roman"/>
          <w:sz w:val="24"/>
          <w:szCs w:val="24"/>
        </w:rPr>
        <w:t xml:space="preserve"> § 1225(b)(2)(A). Collectively, the Department of Homeland Security (“DHS”) refers to these noncitizens as “arriving aliens.” 8 C.F.R. § 1.2.</w:t>
      </w:r>
    </w:p>
    <w:p w14:paraId="664E28A1" w14:textId="77777777" w:rsidR="00B55DC4" w:rsidRPr="00197AFB" w:rsidRDefault="00B55DC4" w:rsidP="00B55DC4">
      <w:pPr>
        <w:pStyle w:val="ListParagraph"/>
        <w:numPr>
          <w:ilvl w:val="0"/>
          <w:numId w:val="32"/>
        </w:numPr>
        <w:spacing w:line="480" w:lineRule="auto"/>
        <w:ind w:left="0" w:firstLine="0"/>
        <w:rPr>
          <w:rFonts w:eastAsia="Times New Roman" w:cs="Times New Roman"/>
          <w:sz w:val="24"/>
          <w:szCs w:val="24"/>
        </w:rPr>
      </w:pPr>
      <w:r w:rsidRPr="00197AFB">
        <w:rPr>
          <w:rFonts w:cs="Times New Roman"/>
          <w:sz w:val="24"/>
          <w:szCs w:val="24"/>
        </w:rPr>
        <w:t xml:space="preserve">The government interprets </w:t>
      </w:r>
      <w:r w:rsidRPr="00197AFB">
        <w:rPr>
          <w:rFonts w:ascii="Times New Roman" w:hAnsi="Times New Roman" w:cs="Times New Roman"/>
          <w:sz w:val="24"/>
          <w:szCs w:val="24"/>
        </w:rPr>
        <w:t xml:space="preserve">§ </w:t>
      </w:r>
      <w:r w:rsidRPr="00197AFB">
        <w:rPr>
          <w:rFonts w:eastAsia="Times New Roman" w:cs="Times New Roman"/>
          <w:sz w:val="24"/>
          <w:szCs w:val="24"/>
        </w:rPr>
        <w:t xml:space="preserve">1225(b) to require mandatory detention without a bond hearing </w:t>
      </w:r>
      <w:r>
        <w:rPr>
          <w:rFonts w:eastAsia="Times New Roman" w:cs="Times New Roman"/>
          <w:sz w:val="24"/>
          <w:szCs w:val="24"/>
        </w:rPr>
        <w:t>of</w:t>
      </w:r>
      <w:r w:rsidRPr="00197AFB">
        <w:rPr>
          <w:rFonts w:eastAsia="Times New Roman" w:cs="Times New Roman"/>
          <w:sz w:val="24"/>
          <w:szCs w:val="24"/>
        </w:rPr>
        <w:t xml:space="preserve"> all arriving aliens, for the indefinite length of time necessary to complete removal proceedings, even if that time becomes unreasonably prolonged. </w:t>
      </w:r>
      <w:r w:rsidRPr="00197AFB">
        <w:rPr>
          <w:rFonts w:eastAsia="Times New Roman" w:cs="Times New Roman"/>
          <w:sz w:val="24"/>
          <w:szCs w:val="24"/>
          <w:u w:val="single"/>
        </w:rPr>
        <w:t>See</w:t>
      </w:r>
      <w:r w:rsidRPr="00197AFB">
        <w:rPr>
          <w:rFonts w:eastAsia="Times New Roman" w:cs="Times New Roman"/>
          <w:sz w:val="24"/>
          <w:szCs w:val="24"/>
        </w:rPr>
        <w:t xml:space="preserve"> </w:t>
      </w:r>
      <w:r w:rsidRPr="00197AFB">
        <w:rPr>
          <w:rFonts w:eastAsia="Times New Roman" w:cs="Times New Roman"/>
          <w:sz w:val="24"/>
          <w:szCs w:val="24"/>
          <w:u w:val="single"/>
        </w:rPr>
        <w:t>Matter of</w:t>
      </w:r>
      <w:r w:rsidRPr="00197AFB">
        <w:rPr>
          <w:rFonts w:ascii="Times New Roman" w:eastAsia="Times New Roman" w:hAnsi="Times New Roman" w:cs="Times New Roman"/>
          <w:sz w:val="24"/>
          <w:szCs w:val="24"/>
          <w:u w:val="single"/>
        </w:rPr>
        <w:t xml:space="preserve"> X-K-</w:t>
      </w:r>
      <w:r w:rsidRPr="00197AFB">
        <w:rPr>
          <w:rFonts w:ascii="Times New Roman" w:eastAsia="Times New Roman" w:hAnsi="Times New Roman" w:cs="Times New Roman"/>
          <w:sz w:val="24"/>
          <w:szCs w:val="24"/>
        </w:rPr>
        <w:t xml:space="preserve">, 23 I. &amp; N. Dec. 731, 732 (BIA 2005) (“There is no question that Immigration Judges lack jurisdiction [for a bond hearing] over arriving aliens who have been placed in </w:t>
      </w:r>
      <w:r>
        <w:rPr>
          <w:rFonts w:ascii="Times New Roman" w:eastAsia="Times New Roman" w:hAnsi="Times New Roman" w:cs="Times New Roman"/>
          <w:sz w:val="24"/>
          <w:szCs w:val="24"/>
        </w:rPr>
        <w:t>. . .</w:t>
      </w:r>
      <w:r w:rsidRPr="00197AFB">
        <w:rPr>
          <w:rFonts w:ascii="Times New Roman" w:eastAsia="Times New Roman" w:hAnsi="Times New Roman" w:cs="Times New Roman"/>
          <w:sz w:val="24"/>
          <w:szCs w:val="24"/>
        </w:rPr>
        <w:t xml:space="preserve"> removal proceedings . . . .”);</w:t>
      </w:r>
      <w:r w:rsidRPr="00197AFB">
        <w:rPr>
          <w:rFonts w:eastAsia="Times New Roman" w:cs="Times New Roman"/>
          <w:sz w:val="24"/>
          <w:szCs w:val="24"/>
        </w:rPr>
        <w:t xml:space="preserve"> 8 </w:t>
      </w:r>
      <w:r w:rsidRPr="00197AFB">
        <w:rPr>
          <w:rFonts w:eastAsia="Times New Roman" w:cs="Times New Roman"/>
          <w:sz w:val="24"/>
          <w:szCs w:val="24"/>
        </w:rPr>
        <w:lastRenderedPageBreak/>
        <w:t>C.F.R. § 1003.19(h)(2)(i)(B) (stating that an immigration judge may not conduct a custody determination of an “arriving alien”).</w:t>
      </w:r>
    </w:p>
    <w:p w14:paraId="5F79962F" w14:textId="77777777" w:rsidR="00B55DC4" w:rsidRPr="00B3113B" w:rsidRDefault="00B55DC4" w:rsidP="00B55DC4">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hAnsi="Times New Roman" w:cs="Times New Roman"/>
          <w:bCs/>
          <w:sz w:val="24"/>
          <w:szCs w:val="24"/>
        </w:rPr>
        <w:t>Petitioner’s</w:t>
      </w:r>
      <w:r w:rsidRPr="00B3113B">
        <w:rPr>
          <w:rFonts w:ascii="Times New Roman" w:hAnsi="Times New Roman" w:cs="Times New Roman"/>
          <w:bCs/>
          <w:sz w:val="24"/>
          <w:szCs w:val="24"/>
        </w:rPr>
        <w:t xml:space="preserve"> </w:t>
      </w:r>
      <w:r w:rsidRPr="00B3113B">
        <w:rPr>
          <w:rFonts w:ascii="Times New Roman" w:eastAsia="Times New Roman" w:hAnsi="Times New Roman" w:cs="Times New Roman"/>
          <w:sz w:val="24"/>
          <w:szCs w:val="24"/>
        </w:rPr>
        <w:t xml:space="preserve">prolonged, indefinite detention </w:t>
      </w:r>
      <w:r>
        <w:rPr>
          <w:rFonts w:ascii="Times New Roman" w:eastAsia="Times New Roman" w:hAnsi="Times New Roman" w:cs="Times New Roman"/>
          <w:sz w:val="24"/>
          <w:szCs w:val="24"/>
        </w:rPr>
        <w:t xml:space="preserve">pending removal proceedings </w:t>
      </w:r>
      <w:r w:rsidRPr="00B3113B">
        <w:rPr>
          <w:rFonts w:ascii="Times New Roman" w:eastAsia="Times New Roman" w:hAnsi="Times New Roman" w:cs="Times New Roman"/>
          <w:sz w:val="24"/>
          <w:szCs w:val="24"/>
        </w:rPr>
        <w:t xml:space="preserve">violates the U.S. Constitution’s Fifth Amendment </w:t>
      </w:r>
      <w:r>
        <w:rPr>
          <w:rFonts w:ascii="Times New Roman" w:eastAsia="Times New Roman" w:hAnsi="Times New Roman" w:cs="Times New Roman"/>
          <w:sz w:val="24"/>
          <w:szCs w:val="24"/>
        </w:rPr>
        <w:t>because it</w:t>
      </w:r>
      <w:r w:rsidRPr="00B3113B">
        <w:rPr>
          <w:rFonts w:ascii="Times New Roman" w:eastAsia="Times New Roman" w:hAnsi="Times New Roman" w:cs="Times New Roman"/>
          <w:sz w:val="24"/>
          <w:szCs w:val="24"/>
        </w:rPr>
        <w:t xml:space="preserve"> depriv</w:t>
      </w:r>
      <w:r>
        <w:rPr>
          <w:rFonts w:ascii="Times New Roman" w:eastAsia="Times New Roman" w:hAnsi="Times New Roman" w:cs="Times New Roman"/>
          <w:sz w:val="24"/>
          <w:szCs w:val="24"/>
        </w:rPr>
        <w:t>es</w:t>
      </w:r>
      <w:r w:rsidRPr="00B311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petitioner</w:t>
      </w:r>
      <w:r w:rsidRPr="00B3113B">
        <w:rPr>
          <w:rFonts w:ascii="Times New Roman" w:eastAsia="Times New Roman" w:hAnsi="Times New Roman" w:cs="Times New Roman"/>
          <w:sz w:val="24"/>
          <w:szCs w:val="24"/>
        </w:rPr>
        <w:t xml:space="preserve"> of liberty without due process of law and the Immigration and Nationality Act because it is not authorized by the statute. </w:t>
      </w:r>
    </w:p>
    <w:p w14:paraId="291BF8FC" w14:textId="034A66C4" w:rsidR="00936FD1" w:rsidRPr="003A2DBD" w:rsidRDefault="00B55DC4" w:rsidP="00B55DC4">
      <w:pPr>
        <w:pStyle w:val="ListParagraph"/>
        <w:numPr>
          <w:ilvl w:val="0"/>
          <w:numId w:val="32"/>
        </w:numPr>
        <w:spacing w:line="480" w:lineRule="auto"/>
        <w:ind w:left="0" w:firstLine="0"/>
        <w:rPr>
          <w:sz w:val="24"/>
          <w:szCs w:val="24"/>
        </w:rPr>
      </w:pPr>
      <w:r>
        <w:rPr>
          <w:rFonts w:ascii="Times New Roman" w:hAnsi="Times New Roman" w:cs="Times New Roman"/>
          <w:bCs/>
          <w:sz w:val="24"/>
          <w:szCs w:val="24"/>
        </w:rPr>
        <w:t xml:space="preserve">Petitioner </w:t>
      </w:r>
      <w:r w:rsidRPr="00B3113B">
        <w:rPr>
          <w:rFonts w:ascii="Times New Roman" w:hAnsi="Times New Roman" w:cs="Times New Roman"/>
          <w:sz w:val="24"/>
          <w:szCs w:val="24"/>
        </w:rPr>
        <w:t xml:space="preserve">therefore respectfully requests that this Court issue a writ of habeas corpus and order </w:t>
      </w:r>
      <w:r>
        <w:rPr>
          <w:rFonts w:ascii="Times New Roman" w:hAnsi="Times New Roman" w:cs="Times New Roman"/>
          <w:bCs/>
          <w:sz w:val="24"/>
          <w:szCs w:val="24"/>
        </w:rPr>
        <w:t>petitioner’s</w:t>
      </w:r>
      <w:r w:rsidRPr="00B3113B">
        <w:rPr>
          <w:rFonts w:ascii="Times New Roman" w:hAnsi="Times New Roman" w:cs="Times New Roman"/>
          <w:bCs/>
          <w:sz w:val="24"/>
          <w:szCs w:val="24"/>
        </w:rPr>
        <w:t xml:space="preserve"> </w:t>
      </w:r>
      <w:r w:rsidRPr="00B3113B">
        <w:rPr>
          <w:rFonts w:ascii="Times New Roman" w:hAnsi="Times New Roman" w:cs="Times New Roman"/>
          <w:sz w:val="24"/>
          <w:szCs w:val="24"/>
        </w:rPr>
        <w:t xml:space="preserve">release from custody, with appropriate conditions of supervision if necessary. In the alternative, </w:t>
      </w:r>
      <w:r>
        <w:rPr>
          <w:rFonts w:ascii="Times New Roman" w:hAnsi="Times New Roman" w:cs="Times New Roman"/>
          <w:bCs/>
          <w:sz w:val="24"/>
          <w:szCs w:val="24"/>
        </w:rPr>
        <w:t>petitioner</w:t>
      </w:r>
      <w:r w:rsidRPr="00B3113B">
        <w:rPr>
          <w:rFonts w:ascii="Times New Roman" w:hAnsi="Times New Roman" w:cs="Times New Roman"/>
          <w:bCs/>
          <w:sz w:val="24"/>
          <w:szCs w:val="24"/>
        </w:rPr>
        <w:t xml:space="preserve"> </w:t>
      </w:r>
      <w:r w:rsidRPr="00B3113B">
        <w:rPr>
          <w:rFonts w:ascii="Times New Roman" w:hAnsi="Times New Roman" w:cs="Times New Roman"/>
          <w:sz w:val="24"/>
          <w:szCs w:val="24"/>
        </w:rPr>
        <w:t xml:space="preserve">requests that this Court conduct or order an immigration judge to conduct a bond hearing at which </w:t>
      </w:r>
      <w:r w:rsidRPr="00B3113B">
        <w:rPr>
          <w:rFonts w:ascii="Times New Roman" w:eastAsia="Times New Roman" w:hAnsi="Times New Roman" w:cs="Times New Roman"/>
          <w:sz w:val="24"/>
          <w:szCs w:val="24"/>
        </w:rPr>
        <w:t>(1) the government bears the burden of proving flight risk and dangerousness by clear and convincing evidence and (2) the reviewing court considers alternatives to detention that could mitigate risk of flight.</w:t>
      </w:r>
    </w:p>
    <w:p w14:paraId="312B91F2" w14:textId="77777777" w:rsidR="00936FD1" w:rsidRPr="003A2DBD" w:rsidRDefault="5A2F9B48" w:rsidP="00CD1A25">
      <w:pPr>
        <w:spacing w:line="240" w:lineRule="auto"/>
        <w:jc w:val="center"/>
        <w:rPr>
          <w:b/>
          <w:sz w:val="24"/>
          <w:szCs w:val="24"/>
        </w:rPr>
      </w:pPr>
      <w:r w:rsidRPr="003A2DBD">
        <w:rPr>
          <w:b/>
          <w:bCs/>
          <w:sz w:val="24"/>
          <w:szCs w:val="24"/>
        </w:rPr>
        <w:t>PARTIES</w:t>
      </w:r>
    </w:p>
    <w:p w14:paraId="3B92315E" w14:textId="77777777" w:rsidR="00B55DC4" w:rsidRPr="00B3113B" w:rsidRDefault="00B55DC4" w:rsidP="00B55DC4">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Petitioner is presently detained at the direction of Respondents at </w:t>
      </w:r>
      <w:r w:rsidRPr="003B27F5">
        <w:rPr>
          <w:rFonts w:ascii="Times New Roman" w:hAnsi="Times New Roman" w:cs="Times New Roman"/>
          <w:sz w:val="24"/>
          <w:szCs w:val="24"/>
          <w:highlight w:val="yellow"/>
        </w:rPr>
        <w:t>[detention center name and address].</w:t>
      </w:r>
      <w:r w:rsidRPr="00B3113B">
        <w:rPr>
          <w:rFonts w:ascii="Times New Roman" w:hAnsi="Times New Roman" w:cs="Times New Roman"/>
          <w:sz w:val="24"/>
          <w:szCs w:val="24"/>
        </w:rPr>
        <w:t xml:space="preserve"> </w:t>
      </w:r>
    </w:p>
    <w:p w14:paraId="727CBC03" w14:textId="77777777" w:rsidR="00B55DC4" w:rsidRDefault="00B55DC4" w:rsidP="00B55DC4">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Respondent </w:t>
      </w:r>
      <w:r w:rsidRPr="00FB02DD">
        <w:rPr>
          <w:rFonts w:ascii="Times New Roman" w:hAnsi="Times New Roman" w:cs="Times New Roman"/>
          <w:b/>
          <w:sz w:val="24"/>
          <w:szCs w:val="24"/>
          <w:highlight w:val="yellow"/>
        </w:rPr>
        <w:t>[</w:t>
      </w:r>
      <w:r>
        <w:rPr>
          <w:rFonts w:ascii="Times New Roman" w:hAnsi="Times New Roman" w:cs="Times New Roman"/>
          <w:b/>
          <w:sz w:val="24"/>
          <w:szCs w:val="24"/>
          <w:highlight w:val="yellow"/>
        </w:rPr>
        <w:t>warden of facility</w:t>
      </w:r>
      <w:r w:rsidRPr="00FB02DD">
        <w:rPr>
          <w:rFonts w:ascii="Times New Roman" w:hAnsi="Times New Roman" w:cs="Times New Roman"/>
          <w:b/>
          <w:sz w:val="24"/>
          <w:szCs w:val="24"/>
          <w:highlight w:val="yellow"/>
        </w:rPr>
        <w:t>]</w:t>
      </w:r>
      <w:r w:rsidRPr="00B3113B">
        <w:rPr>
          <w:rFonts w:ascii="Times New Roman" w:hAnsi="Times New Roman" w:cs="Times New Roman"/>
          <w:sz w:val="24"/>
          <w:szCs w:val="24"/>
        </w:rPr>
        <w:t xml:space="preserve"> is named in his official capacity as the </w:t>
      </w:r>
      <w:r>
        <w:rPr>
          <w:rFonts w:ascii="Times New Roman" w:hAnsi="Times New Roman" w:cs="Times New Roman"/>
          <w:sz w:val="24"/>
          <w:szCs w:val="24"/>
        </w:rPr>
        <w:t>warden of the facility where petitioner is held</w:t>
      </w:r>
      <w:r w:rsidRPr="00B3113B">
        <w:rPr>
          <w:rFonts w:ascii="Times New Roman" w:hAnsi="Times New Roman" w:cs="Times New Roman"/>
          <w:sz w:val="24"/>
          <w:szCs w:val="24"/>
        </w:rPr>
        <w:t xml:space="preserve">. In this capacity, he is a legal custodian of petitioner. Respondent’s address is </w:t>
      </w:r>
      <w:r w:rsidRPr="003B27F5">
        <w:rPr>
          <w:rFonts w:ascii="Times New Roman" w:hAnsi="Times New Roman" w:cs="Times New Roman"/>
          <w:sz w:val="24"/>
          <w:szCs w:val="24"/>
          <w:highlight w:val="yellow"/>
        </w:rPr>
        <w:t>[address].</w:t>
      </w:r>
    </w:p>
    <w:p w14:paraId="3645A944" w14:textId="77777777" w:rsidR="00B55DC4" w:rsidRPr="003B27F5" w:rsidRDefault="00B55DC4" w:rsidP="00B55DC4">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Respondent </w:t>
      </w:r>
      <w:r w:rsidRPr="00FB02DD">
        <w:rPr>
          <w:rFonts w:ascii="Times New Roman" w:hAnsi="Times New Roman" w:cs="Times New Roman"/>
          <w:b/>
          <w:sz w:val="24"/>
          <w:szCs w:val="24"/>
          <w:highlight w:val="yellow"/>
        </w:rPr>
        <w:t>[District Director]</w:t>
      </w:r>
      <w:r w:rsidRPr="00B3113B">
        <w:rPr>
          <w:rFonts w:ascii="Times New Roman" w:hAnsi="Times New Roman" w:cs="Times New Roman"/>
          <w:sz w:val="24"/>
          <w:szCs w:val="24"/>
        </w:rPr>
        <w:t xml:space="preserve"> is named in his official capacity as the ICE District Director of </w:t>
      </w:r>
      <w:r w:rsidRPr="003B27F5">
        <w:rPr>
          <w:rFonts w:ascii="Times New Roman" w:hAnsi="Times New Roman" w:cs="Times New Roman"/>
          <w:sz w:val="24"/>
          <w:szCs w:val="24"/>
          <w:highlight w:val="yellow"/>
        </w:rPr>
        <w:t>[region]</w:t>
      </w:r>
      <w:r w:rsidRPr="00B3113B">
        <w:rPr>
          <w:rFonts w:ascii="Times New Roman" w:hAnsi="Times New Roman" w:cs="Times New Roman"/>
          <w:sz w:val="24"/>
          <w:szCs w:val="24"/>
        </w:rPr>
        <w:t xml:space="preserve">. In this capacity, he is a legal custodian of petitioner. Respondent’s address is </w:t>
      </w:r>
      <w:r w:rsidRPr="003B27F5">
        <w:rPr>
          <w:rFonts w:ascii="Times New Roman" w:hAnsi="Times New Roman" w:cs="Times New Roman"/>
          <w:sz w:val="24"/>
          <w:szCs w:val="24"/>
          <w:highlight w:val="yellow"/>
        </w:rPr>
        <w:t>[address].</w:t>
      </w:r>
    </w:p>
    <w:p w14:paraId="297B5804" w14:textId="77777777" w:rsidR="00B55DC4" w:rsidRPr="00B3113B" w:rsidRDefault="00B55DC4" w:rsidP="00B55DC4">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Respondent John F. Kelly is named in his official capacity as the Secretary of DHS. He is responsible for the administration of the immigration laws. 8 U.S.C. § 1103(a). He routinely </w:t>
      </w:r>
      <w:r w:rsidRPr="00B3113B">
        <w:rPr>
          <w:rFonts w:ascii="Times New Roman" w:hAnsi="Times New Roman" w:cs="Times New Roman"/>
          <w:sz w:val="24"/>
          <w:szCs w:val="24"/>
        </w:rPr>
        <w:lastRenderedPageBreak/>
        <w:t>transacts business in</w:t>
      </w:r>
      <w:r>
        <w:rPr>
          <w:rFonts w:ascii="Times New Roman" w:hAnsi="Times New Roman" w:cs="Times New Roman"/>
          <w:sz w:val="24"/>
          <w:szCs w:val="24"/>
        </w:rPr>
        <w:t xml:space="preserve"> the</w:t>
      </w:r>
      <w:r w:rsidRPr="00B3113B">
        <w:rPr>
          <w:rFonts w:ascii="Times New Roman" w:hAnsi="Times New Roman" w:cs="Times New Roman"/>
          <w:sz w:val="24"/>
          <w:szCs w:val="24"/>
        </w:rPr>
        <w:t xml:space="preserve"> </w:t>
      </w:r>
      <w:r w:rsidRPr="003B27F5">
        <w:rPr>
          <w:rFonts w:ascii="Times New Roman" w:hAnsi="Times New Roman" w:cs="Times New Roman"/>
          <w:sz w:val="24"/>
          <w:szCs w:val="24"/>
          <w:highlight w:val="yellow"/>
        </w:rPr>
        <w:t>[district where habeas is filed]</w:t>
      </w:r>
      <w:r w:rsidRPr="00B3113B">
        <w:rPr>
          <w:rFonts w:ascii="Times New Roman" w:hAnsi="Times New Roman" w:cs="Times New Roman"/>
          <w:sz w:val="24"/>
          <w:szCs w:val="24"/>
        </w:rPr>
        <w:t xml:space="preserve"> and is legally responsible for Petitioner’s detention. As such, he is a legal custodian of Petitioner. Respondent Kelly’s address is United States Department of Homeland Security, 3801 Nebraska Ave NW, Washington, DC 20016.</w:t>
      </w:r>
    </w:p>
    <w:p w14:paraId="235FF710" w14:textId="7BEC61C6" w:rsidR="00936FD1" w:rsidRPr="00CD1A25" w:rsidRDefault="00B55DC4" w:rsidP="00B55DC4">
      <w:pPr>
        <w:pStyle w:val="ListParagraph"/>
        <w:numPr>
          <w:ilvl w:val="0"/>
          <w:numId w:val="32"/>
        </w:numPr>
        <w:spacing w:line="480" w:lineRule="auto"/>
        <w:ind w:left="0" w:firstLine="0"/>
        <w:rPr>
          <w:rFonts w:eastAsia="Times New Roman" w:cs="Times New Roman"/>
          <w:sz w:val="24"/>
          <w:szCs w:val="24"/>
        </w:rPr>
      </w:pPr>
      <w:r w:rsidRPr="00B3113B">
        <w:rPr>
          <w:rFonts w:ascii="Times New Roman" w:hAnsi="Times New Roman" w:cs="Times New Roman"/>
          <w:sz w:val="24"/>
          <w:szCs w:val="24"/>
        </w:rPr>
        <w:t xml:space="preserve">Respondent Jefferson Beauregard Sessions III is named in his official capacity as the Attorney General of the United States. He is responsible for the administration of the immigration laws as exercised by the Executive Office for Immigration Review. 8 U.S.C. § 1103(g). He routinely transacts business in the </w:t>
      </w:r>
      <w:r w:rsidRPr="003B27F5">
        <w:rPr>
          <w:rFonts w:ascii="Times New Roman" w:hAnsi="Times New Roman" w:cs="Times New Roman"/>
          <w:sz w:val="24"/>
          <w:szCs w:val="24"/>
          <w:highlight w:val="yellow"/>
        </w:rPr>
        <w:t>[district where habeas is filed]</w:t>
      </w:r>
      <w:r w:rsidRPr="00B3113B">
        <w:rPr>
          <w:rFonts w:ascii="Times New Roman" w:hAnsi="Times New Roman" w:cs="Times New Roman"/>
          <w:sz w:val="24"/>
          <w:szCs w:val="24"/>
        </w:rPr>
        <w:t xml:space="preserve"> is legally responsible for Petitioner’s detention. As such, he is a legal custodian of Petitioner. Respondent Sessions’s address is United States Department of Justice, 950 Pennsylvania Avenue, N.W., Washington, D.C. 20530.</w:t>
      </w:r>
      <w:r w:rsidR="5A2F9B48" w:rsidRPr="00CD1A25">
        <w:rPr>
          <w:rFonts w:eastAsia="Times New Roman" w:cs="Times New Roman"/>
          <w:sz w:val="24"/>
          <w:szCs w:val="24"/>
        </w:rPr>
        <w:t xml:space="preserve"> </w:t>
      </w:r>
    </w:p>
    <w:p w14:paraId="3395E599" w14:textId="77777777" w:rsidR="00936FD1" w:rsidRPr="003A2DBD" w:rsidRDefault="5A2F9B48" w:rsidP="00CD1A25">
      <w:pPr>
        <w:spacing w:line="240" w:lineRule="auto"/>
        <w:jc w:val="center"/>
        <w:rPr>
          <w:b/>
          <w:sz w:val="24"/>
          <w:szCs w:val="24"/>
        </w:rPr>
      </w:pPr>
      <w:r w:rsidRPr="003A2DBD">
        <w:rPr>
          <w:b/>
          <w:bCs/>
          <w:sz w:val="24"/>
          <w:szCs w:val="24"/>
        </w:rPr>
        <w:t>JURISDICTION</w:t>
      </w:r>
    </w:p>
    <w:p w14:paraId="23D39CC1" w14:textId="77777777" w:rsidR="00B55DC4" w:rsidRPr="00197AFB" w:rsidRDefault="00B55DC4" w:rsidP="00B55DC4">
      <w:pPr>
        <w:pStyle w:val="ListParagraph"/>
        <w:numPr>
          <w:ilvl w:val="0"/>
          <w:numId w:val="32"/>
        </w:numPr>
        <w:spacing w:line="480" w:lineRule="auto"/>
        <w:ind w:left="0" w:firstLine="0"/>
        <w:rPr>
          <w:sz w:val="24"/>
          <w:szCs w:val="24"/>
        </w:rPr>
      </w:pPr>
      <w:r w:rsidRPr="00197AFB">
        <w:rPr>
          <w:sz w:val="24"/>
          <w:szCs w:val="24"/>
        </w:rPr>
        <w:t xml:space="preserve">Petitioner is detained in the custody of Respondents at </w:t>
      </w:r>
      <w:r w:rsidRPr="00197AFB">
        <w:rPr>
          <w:sz w:val="24"/>
          <w:szCs w:val="24"/>
          <w:highlight w:val="yellow"/>
        </w:rPr>
        <w:t>[address of detention center].</w:t>
      </w:r>
    </w:p>
    <w:p w14:paraId="083156AF" w14:textId="77777777" w:rsidR="00B55DC4" w:rsidRPr="00197AFB" w:rsidRDefault="00B55DC4" w:rsidP="00B55DC4">
      <w:pPr>
        <w:pStyle w:val="ListParagraph"/>
        <w:numPr>
          <w:ilvl w:val="0"/>
          <w:numId w:val="32"/>
        </w:numPr>
        <w:spacing w:line="480" w:lineRule="auto"/>
        <w:ind w:left="0" w:firstLine="0"/>
        <w:rPr>
          <w:sz w:val="24"/>
          <w:szCs w:val="24"/>
        </w:rPr>
      </w:pPr>
      <w:r w:rsidRPr="00197AFB">
        <w:rPr>
          <w:sz w:val="24"/>
          <w:szCs w:val="24"/>
        </w:rPr>
        <w:t xml:space="preserve">This Court has subject matter jurisdiction over this Petition </w:t>
      </w:r>
      <w:r>
        <w:rPr>
          <w:sz w:val="24"/>
          <w:szCs w:val="24"/>
        </w:rPr>
        <w:t>under</w:t>
      </w:r>
      <w:r w:rsidRPr="00197AFB">
        <w:rPr>
          <w:sz w:val="24"/>
          <w:szCs w:val="24"/>
        </w:rPr>
        <w:t xml:space="preserve"> 28 U.S.C. § 2241</w:t>
      </w:r>
      <w:r>
        <w:rPr>
          <w:sz w:val="24"/>
          <w:szCs w:val="24"/>
        </w:rPr>
        <w:t xml:space="preserve"> (power to grant habeas corpus) and</w:t>
      </w:r>
      <w:r w:rsidRPr="00197AFB">
        <w:rPr>
          <w:sz w:val="24"/>
          <w:szCs w:val="24"/>
        </w:rPr>
        <w:t xml:space="preserve"> 28 U.S.C. § 1331</w:t>
      </w:r>
      <w:r>
        <w:rPr>
          <w:sz w:val="24"/>
          <w:szCs w:val="24"/>
        </w:rPr>
        <w:t xml:space="preserve"> (federal question jurisdiction);</w:t>
      </w:r>
      <w:r w:rsidRPr="00197AFB">
        <w:rPr>
          <w:sz w:val="24"/>
          <w:szCs w:val="24"/>
        </w:rPr>
        <w:t xml:space="preserve"> the All Writs Act, 28 U.S.C. § 1651; and the Administrative Procedure Act, 5 U.S.C. § 701. </w:t>
      </w:r>
    </w:p>
    <w:p w14:paraId="50CE8FE2" w14:textId="3C1C9CF9" w:rsidR="00936FD1" w:rsidRPr="003A2DBD" w:rsidRDefault="00B55DC4" w:rsidP="00B55DC4">
      <w:pPr>
        <w:pStyle w:val="ListParagraph"/>
        <w:numPr>
          <w:ilvl w:val="0"/>
          <w:numId w:val="32"/>
        </w:numPr>
        <w:spacing w:line="480" w:lineRule="auto"/>
        <w:ind w:left="0" w:firstLine="0"/>
        <w:rPr>
          <w:rFonts w:eastAsia="Times New Roman" w:cs="Times New Roman"/>
          <w:sz w:val="24"/>
          <w:szCs w:val="24"/>
        </w:rPr>
      </w:pPr>
      <w:r w:rsidRPr="00197AFB">
        <w:rPr>
          <w:sz w:val="24"/>
          <w:szCs w:val="24"/>
        </w:rPr>
        <w:t xml:space="preserve">Federal district courts have jurisdiction to hear habeas corpus claims by noncitizens challenging the lawfulness or constitutionality of their detention by ICE. </w:t>
      </w:r>
      <w:r w:rsidRPr="00197AFB">
        <w:rPr>
          <w:sz w:val="24"/>
          <w:szCs w:val="24"/>
          <w:u w:val="single"/>
        </w:rPr>
        <w:t>Demore v. Kim</w:t>
      </w:r>
      <w:r>
        <w:rPr>
          <w:sz w:val="24"/>
          <w:szCs w:val="24"/>
        </w:rPr>
        <w:t>, 538 U.S. 510, 516-17 (2003).</w:t>
      </w:r>
    </w:p>
    <w:p w14:paraId="1F72BB5A" w14:textId="77777777" w:rsidR="00936FD1" w:rsidRPr="003A2DBD" w:rsidRDefault="5A2F9B48" w:rsidP="00CD1A25">
      <w:pPr>
        <w:spacing w:line="240" w:lineRule="auto"/>
        <w:contextualSpacing/>
        <w:jc w:val="center"/>
        <w:rPr>
          <w:rFonts w:cs="Times New Roman"/>
          <w:b/>
          <w:sz w:val="24"/>
          <w:szCs w:val="24"/>
          <w:u w:val="single"/>
        </w:rPr>
      </w:pPr>
      <w:r w:rsidRPr="003A2DBD">
        <w:rPr>
          <w:b/>
          <w:bCs/>
          <w:sz w:val="24"/>
          <w:szCs w:val="24"/>
        </w:rPr>
        <w:t>VENUE</w:t>
      </w:r>
    </w:p>
    <w:p w14:paraId="0F8A34E7" w14:textId="3BE51767" w:rsidR="00936FD1" w:rsidRPr="00B55DC4" w:rsidRDefault="00B55DC4" w:rsidP="00B55DC4">
      <w:pPr>
        <w:pStyle w:val="ListParagraph"/>
        <w:numPr>
          <w:ilvl w:val="0"/>
          <w:numId w:val="32"/>
        </w:numPr>
        <w:spacing w:line="480" w:lineRule="auto"/>
        <w:ind w:left="0" w:firstLine="0"/>
        <w:rPr>
          <w:sz w:val="24"/>
          <w:szCs w:val="24"/>
        </w:rPr>
      </w:pPr>
      <w:r w:rsidRPr="00B3113B">
        <w:rPr>
          <w:rFonts w:ascii="Times New Roman" w:hAnsi="Times New Roman" w:cs="Times New Roman"/>
          <w:sz w:val="24"/>
          <w:szCs w:val="24"/>
        </w:rPr>
        <w:t xml:space="preserve">Under 28 U.S.C. § 2241(d), venue properly lies in the </w:t>
      </w:r>
      <w:r w:rsidRPr="003B27F5">
        <w:rPr>
          <w:rFonts w:ascii="Times New Roman" w:hAnsi="Times New Roman" w:cs="Times New Roman"/>
          <w:sz w:val="24"/>
          <w:szCs w:val="24"/>
          <w:highlight w:val="yellow"/>
        </w:rPr>
        <w:t>[district where habeas is filed]</w:t>
      </w:r>
      <w:r w:rsidRPr="00B3113B">
        <w:rPr>
          <w:rFonts w:ascii="Times New Roman" w:hAnsi="Times New Roman" w:cs="Times New Roman"/>
          <w:sz w:val="24"/>
          <w:szCs w:val="24"/>
        </w:rPr>
        <w:t xml:space="preserve"> because Petitioner is physically present and in the custody of Respondents within the district. In addition, Petitioner’s pending removal proceedings are taking place within the district at the immigration court located at </w:t>
      </w:r>
      <w:r w:rsidRPr="00B3113B">
        <w:rPr>
          <w:rFonts w:ascii="Times New Roman" w:hAnsi="Times New Roman" w:cs="Times New Roman"/>
          <w:sz w:val="24"/>
          <w:szCs w:val="24"/>
          <w:highlight w:val="yellow"/>
        </w:rPr>
        <w:t>[court address].</w:t>
      </w:r>
    </w:p>
    <w:p w14:paraId="061908D3" w14:textId="77777777" w:rsidR="00A710C8" w:rsidRPr="003A2DBD" w:rsidRDefault="00A710C8" w:rsidP="00CD1A25">
      <w:pPr>
        <w:spacing w:line="240" w:lineRule="auto"/>
        <w:jc w:val="center"/>
        <w:rPr>
          <w:b/>
          <w:bCs/>
          <w:sz w:val="24"/>
          <w:szCs w:val="24"/>
        </w:rPr>
      </w:pPr>
      <w:r w:rsidRPr="003A2DBD">
        <w:rPr>
          <w:b/>
          <w:bCs/>
          <w:sz w:val="24"/>
          <w:szCs w:val="24"/>
        </w:rPr>
        <w:lastRenderedPageBreak/>
        <w:t>EXHAUSTION OF ADMINISTRATIVE REMEDIES</w:t>
      </w:r>
    </w:p>
    <w:p w14:paraId="093F6790" w14:textId="77777777" w:rsidR="00B55DC4" w:rsidRPr="007A5652" w:rsidRDefault="00B55DC4" w:rsidP="00B55DC4">
      <w:pPr>
        <w:pStyle w:val="ListParagraph"/>
        <w:numPr>
          <w:ilvl w:val="0"/>
          <w:numId w:val="32"/>
        </w:numPr>
        <w:spacing w:line="480" w:lineRule="auto"/>
        <w:ind w:left="0" w:firstLine="0"/>
        <w:rPr>
          <w:rFonts w:eastAsia="Times New Roman" w:cs="Times New Roman"/>
          <w:sz w:val="24"/>
          <w:szCs w:val="24"/>
        </w:rPr>
      </w:pPr>
      <w:r w:rsidRPr="003A2DBD">
        <w:rPr>
          <w:rFonts w:eastAsia="Times New Roman" w:cs="Times New Roman"/>
          <w:sz w:val="24"/>
          <w:szCs w:val="24"/>
        </w:rPr>
        <w:t xml:space="preserve">There is no statutory requirement of exhaustion of administrative remedies where a noncitizen challenges the lawfulness of his detention. See </w:t>
      </w:r>
      <w:r w:rsidRPr="007A5652">
        <w:rPr>
          <w:rFonts w:eastAsia="Times New Roman" w:cs="Times New Roman"/>
          <w:sz w:val="24"/>
          <w:szCs w:val="24"/>
          <w:u w:val="single"/>
        </w:rPr>
        <w:t>Louisaire v. Muller</w:t>
      </w:r>
      <w:r w:rsidRPr="003A2DBD">
        <w:rPr>
          <w:rFonts w:eastAsia="Times New Roman" w:cs="Times New Roman"/>
          <w:sz w:val="24"/>
          <w:szCs w:val="24"/>
        </w:rPr>
        <w:t xml:space="preserve">, 758 F. Supp. 2d 229, 234 (S.D.N.Y. 2010); </w:t>
      </w:r>
      <w:r w:rsidRPr="007A5652">
        <w:rPr>
          <w:rFonts w:eastAsia="Times New Roman" w:cs="Times New Roman"/>
          <w:sz w:val="24"/>
          <w:szCs w:val="24"/>
          <w:u w:val="single"/>
        </w:rPr>
        <w:t>Garcia v. Shanahan</w:t>
      </w:r>
      <w:r w:rsidRPr="003A2DBD">
        <w:rPr>
          <w:rFonts w:eastAsia="Times New Roman" w:cs="Times New Roman"/>
          <w:sz w:val="24"/>
          <w:szCs w:val="24"/>
        </w:rPr>
        <w:t xml:space="preserve">, 615 F. Supp. 2d 175, 180 (S.D.N.Y. 2009). </w:t>
      </w:r>
      <w:r w:rsidRPr="007A5652">
        <w:rPr>
          <w:sz w:val="24"/>
          <w:szCs w:val="24"/>
        </w:rPr>
        <w:t xml:space="preserve">Any requirement of administrative exhaustion is therefore purely discretionary. </w:t>
      </w:r>
    </w:p>
    <w:p w14:paraId="6074BEC6" w14:textId="77777777" w:rsidR="00B55DC4" w:rsidRPr="00295289" w:rsidRDefault="00B55DC4" w:rsidP="00B55DC4">
      <w:pPr>
        <w:pStyle w:val="ListParagraph"/>
        <w:numPr>
          <w:ilvl w:val="0"/>
          <w:numId w:val="32"/>
        </w:numPr>
        <w:spacing w:line="480" w:lineRule="auto"/>
        <w:ind w:left="0" w:firstLine="0"/>
        <w:rPr>
          <w:sz w:val="24"/>
          <w:szCs w:val="24"/>
        </w:rPr>
      </w:pPr>
      <w:r>
        <w:rPr>
          <w:sz w:val="24"/>
          <w:szCs w:val="24"/>
        </w:rPr>
        <w:t>In making that decision, the Court should consider the urgency of the need for immediate review. “</w:t>
      </w:r>
      <w:r w:rsidRPr="00295289">
        <w:rPr>
          <w:rFonts w:ascii="Times New Roman" w:eastAsia="Times New Roman" w:hAnsi="Times New Roman" w:cs="Times New Roman"/>
          <w:sz w:val="24"/>
          <w:szCs w:val="24"/>
        </w:rPr>
        <w:t xml:space="preserve">Where a person is detained by executive order </w:t>
      </w:r>
      <w:r>
        <w:rPr>
          <w:rFonts w:ascii="Times New Roman" w:eastAsia="Times New Roman" w:hAnsi="Times New Roman" w:cs="Times New Roman"/>
          <w:sz w:val="24"/>
          <w:szCs w:val="24"/>
        </w:rPr>
        <w:t xml:space="preserve">. . . </w:t>
      </w:r>
      <w:r w:rsidRPr="00295289">
        <w:rPr>
          <w:rFonts w:ascii="Times New Roman" w:eastAsia="Times New Roman" w:hAnsi="Times New Roman" w:cs="Times New Roman"/>
          <w:sz w:val="24"/>
          <w:szCs w:val="24"/>
        </w:rPr>
        <w:t>the need for collateral review is most pressing.</w:t>
      </w:r>
      <w:r>
        <w:rPr>
          <w:rFonts w:ascii="Times New Roman" w:eastAsia="Times New Roman" w:hAnsi="Times New Roman" w:cs="Times New Roman"/>
          <w:sz w:val="24"/>
          <w:szCs w:val="24"/>
        </w:rPr>
        <w:t xml:space="preserve"> . . .</w:t>
      </w:r>
      <w:r w:rsidRPr="00295289">
        <w:rPr>
          <w:rFonts w:ascii="Times New Roman" w:eastAsia="Times New Roman" w:hAnsi="Times New Roman" w:cs="Times New Roman"/>
          <w:sz w:val="24"/>
          <w:szCs w:val="24"/>
        </w:rPr>
        <w:t xml:space="preserve"> In this context the need for habeas corpus is more urgent.</w:t>
      </w:r>
      <w:r>
        <w:rPr>
          <w:rFonts w:ascii="Times New Roman" w:eastAsia="Times New Roman" w:hAnsi="Times New Roman" w:cs="Times New Roman"/>
          <w:sz w:val="24"/>
          <w:szCs w:val="24"/>
        </w:rPr>
        <w:t>”</w:t>
      </w:r>
      <w:r w:rsidRPr="00295289">
        <w:rPr>
          <w:rFonts w:ascii="Times New Roman" w:eastAsia="Times New Roman" w:hAnsi="Times New Roman" w:cs="Times New Roman"/>
          <w:sz w:val="24"/>
          <w:szCs w:val="24"/>
        </w:rPr>
        <w:t xml:space="preserve"> </w:t>
      </w:r>
      <w:r w:rsidRPr="00295289">
        <w:rPr>
          <w:rFonts w:ascii="Times New Roman" w:eastAsia="Times New Roman" w:hAnsi="Times New Roman" w:cs="Times New Roman"/>
          <w:sz w:val="24"/>
          <w:szCs w:val="24"/>
          <w:u w:val="single"/>
        </w:rPr>
        <w:t>Boumediene v. Bush</w:t>
      </w:r>
      <w:r w:rsidRPr="002952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553 U.S. 723, 783 </w:t>
      </w:r>
      <w:r w:rsidRPr="00295289">
        <w:rPr>
          <w:rFonts w:ascii="Times New Roman" w:eastAsia="Times New Roman" w:hAnsi="Times New Roman" w:cs="Times New Roman"/>
          <w:sz w:val="24"/>
          <w:szCs w:val="24"/>
        </w:rPr>
        <w:t>(2008)</w:t>
      </w:r>
      <w:r>
        <w:rPr>
          <w:rFonts w:ascii="Times New Roman" w:eastAsia="Times New Roman" w:hAnsi="Times New Roman" w:cs="Times New Roman"/>
          <w:sz w:val="24"/>
          <w:szCs w:val="24"/>
        </w:rPr>
        <w:t xml:space="preserve"> (waiving administrative exhaustion for executive detainees). </w:t>
      </w:r>
    </w:p>
    <w:p w14:paraId="79C7AC5C" w14:textId="77777777" w:rsidR="00B55DC4" w:rsidRPr="007A5652" w:rsidRDefault="00B55DC4" w:rsidP="00B55DC4">
      <w:pPr>
        <w:pStyle w:val="ListParagraph"/>
        <w:numPr>
          <w:ilvl w:val="0"/>
          <w:numId w:val="32"/>
        </w:numPr>
        <w:spacing w:line="480" w:lineRule="auto"/>
        <w:ind w:left="0" w:firstLine="0"/>
        <w:rPr>
          <w:sz w:val="24"/>
          <w:szCs w:val="24"/>
        </w:rPr>
      </w:pPr>
      <w:r w:rsidRPr="003A2DBD">
        <w:rPr>
          <w:rFonts w:eastAsia="Times New Roman" w:cs="Times New Roman"/>
          <w:sz w:val="24"/>
          <w:szCs w:val="24"/>
        </w:rPr>
        <w:t xml:space="preserve">Moreover, where the agency has predetermined a dispositive issue, no further action with the agency is necessary. </w:t>
      </w:r>
      <w:r w:rsidRPr="007A5652">
        <w:rPr>
          <w:rFonts w:eastAsia="Times New Roman" w:cs="Times New Roman"/>
          <w:sz w:val="24"/>
          <w:szCs w:val="24"/>
          <w:u w:val="single"/>
        </w:rPr>
        <w:t>See</w:t>
      </w:r>
      <w:r w:rsidRPr="007A5652">
        <w:rPr>
          <w:rFonts w:eastAsia="Times New Roman" w:cs="Times New Roman"/>
          <w:sz w:val="24"/>
          <w:szCs w:val="24"/>
        </w:rPr>
        <w:t xml:space="preserve">, </w:t>
      </w:r>
      <w:r w:rsidRPr="007A5652">
        <w:rPr>
          <w:rFonts w:eastAsia="Times New Roman" w:cs="Times New Roman"/>
          <w:sz w:val="24"/>
          <w:szCs w:val="24"/>
          <w:u w:val="single"/>
        </w:rPr>
        <w:t>e.g.</w:t>
      </w:r>
      <w:r w:rsidRPr="003A2DBD">
        <w:rPr>
          <w:rFonts w:eastAsia="Times New Roman" w:cs="Times New Roman"/>
          <w:sz w:val="24"/>
          <w:szCs w:val="24"/>
        </w:rPr>
        <w:t xml:space="preserve">, </w:t>
      </w:r>
      <w:r w:rsidRPr="007A5652">
        <w:rPr>
          <w:rFonts w:eastAsia="Times New Roman" w:cs="Times New Roman"/>
          <w:sz w:val="24"/>
          <w:szCs w:val="24"/>
          <w:u w:val="single"/>
        </w:rPr>
        <w:t>Monestime v. Reilly</w:t>
      </w:r>
      <w:r w:rsidRPr="003A2DBD">
        <w:rPr>
          <w:rFonts w:eastAsia="Times New Roman" w:cs="Times New Roman"/>
          <w:sz w:val="24"/>
          <w:szCs w:val="24"/>
        </w:rPr>
        <w:t xml:space="preserve">, 704 F. Supp. 2d 453, 456-57 (S.D.N.Y. 2010) (holding that administrative challenges to a noncitizen’s classification under the mandatory detention statute would be futile given the agency’s precedent on the issue); </w:t>
      </w:r>
      <w:r w:rsidRPr="007A5652">
        <w:rPr>
          <w:rFonts w:eastAsia="Times New Roman" w:cs="Times New Roman"/>
          <w:sz w:val="24"/>
          <w:szCs w:val="24"/>
          <w:u w:val="single"/>
        </w:rPr>
        <w:t>Garcia</w:t>
      </w:r>
      <w:r w:rsidRPr="003A2DBD">
        <w:rPr>
          <w:rFonts w:eastAsia="Times New Roman" w:cs="Times New Roman"/>
          <w:sz w:val="24"/>
          <w:szCs w:val="24"/>
        </w:rPr>
        <w:t>, 615 F. Supp. 2d at 180 (same).</w:t>
      </w:r>
    </w:p>
    <w:p w14:paraId="7C2C3DFA" w14:textId="77777777" w:rsidR="00B55DC4" w:rsidRDefault="00B55DC4" w:rsidP="00B55DC4">
      <w:pPr>
        <w:pStyle w:val="ListParagraph"/>
        <w:numPr>
          <w:ilvl w:val="0"/>
          <w:numId w:val="32"/>
        </w:numPr>
        <w:spacing w:line="480" w:lineRule="auto"/>
        <w:ind w:left="0" w:firstLine="0"/>
        <w:rPr>
          <w:sz w:val="24"/>
          <w:szCs w:val="24"/>
        </w:rPr>
      </w:pPr>
      <w:r w:rsidRPr="00197AFB">
        <w:rPr>
          <w:sz w:val="24"/>
          <w:szCs w:val="24"/>
        </w:rPr>
        <w:t xml:space="preserve">The BIA interprets </w:t>
      </w:r>
      <w:r w:rsidRPr="00197AFB">
        <w:rPr>
          <w:rFonts w:ascii="Times New Roman" w:eastAsia="Times New Roman" w:hAnsi="Times New Roman" w:cs="Times New Roman"/>
          <w:sz w:val="24"/>
          <w:szCs w:val="24"/>
        </w:rPr>
        <w:t>§ 1225(b) as mandating detention of arriving aliens pending removal proceedings.</w:t>
      </w:r>
      <w:r w:rsidRPr="00197AFB">
        <w:rPr>
          <w:sz w:val="24"/>
          <w:szCs w:val="24"/>
        </w:rPr>
        <w:t xml:space="preserve"> See </w:t>
      </w:r>
      <w:r w:rsidRPr="00197AFB">
        <w:rPr>
          <w:sz w:val="24"/>
          <w:szCs w:val="24"/>
          <w:u w:val="single"/>
        </w:rPr>
        <w:t>Matter of X-K-</w:t>
      </w:r>
      <w:r w:rsidRPr="00197AFB">
        <w:rPr>
          <w:sz w:val="24"/>
          <w:szCs w:val="24"/>
        </w:rPr>
        <w:t xml:space="preserve">, 23 I. &amp; N. Dec. </w:t>
      </w:r>
      <w:r>
        <w:rPr>
          <w:sz w:val="24"/>
          <w:szCs w:val="24"/>
        </w:rPr>
        <w:t>at</w:t>
      </w:r>
      <w:r w:rsidRPr="00197AFB">
        <w:rPr>
          <w:sz w:val="24"/>
          <w:szCs w:val="24"/>
        </w:rPr>
        <w:t xml:space="preserve"> 732 (“There is no question that Immigration Judges lack jurisdiction [for a bond hearing] over arriving </w:t>
      </w:r>
      <w:r>
        <w:rPr>
          <w:sz w:val="24"/>
          <w:szCs w:val="24"/>
        </w:rPr>
        <w:t>aliens who have been placed in . . .</w:t>
      </w:r>
      <w:r w:rsidRPr="00197AFB">
        <w:rPr>
          <w:sz w:val="24"/>
          <w:szCs w:val="24"/>
        </w:rPr>
        <w:t xml:space="preserve"> removal proceedings . . . .”). Exhaustion before the BIA would therefore be futile.</w:t>
      </w:r>
    </w:p>
    <w:p w14:paraId="4852AA10" w14:textId="77777777" w:rsidR="00B55DC4" w:rsidRPr="003B23EA" w:rsidRDefault="00B55DC4" w:rsidP="00B55DC4">
      <w:pPr>
        <w:pStyle w:val="ListParagraph"/>
        <w:numPr>
          <w:ilvl w:val="0"/>
          <w:numId w:val="32"/>
        </w:numPr>
        <w:spacing w:line="480" w:lineRule="auto"/>
        <w:ind w:left="0" w:firstLine="0"/>
        <w:rPr>
          <w:sz w:val="24"/>
          <w:szCs w:val="24"/>
        </w:rPr>
      </w:pPr>
      <w:r w:rsidRPr="003A2DBD">
        <w:rPr>
          <w:rFonts w:eastAsia="Times New Roman" w:cstheme="minorHAnsi"/>
          <w:sz w:val="24"/>
          <w:szCs w:val="24"/>
        </w:rPr>
        <w:t xml:space="preserve">Further, “the BIA [Board of Immigration Appeals] does not have jurisdiction to adjudicate constitutional issues . . . .” (quotations and citation omitted). </w:t>
      </w:r>
      <w:r w:rsidRPr="007A5652">
        <w:rPr>
          <w:rFonts w:eastAsia="Times New Roman" w:cstheme="minorHAnsi"/>
          <w:sz w:val="24"/>
          <w:szCs w:val="24"/>
          <w:u w:val="single"/>
        </w:rPr>
        <w:t>United States v. Gonzalez-Roque</w:t>
      </w:r>
      <w:r w:rsidRPr="003A2DBD">
        <w:rPr>
          <w:rFonts w:eastAsia="Times New Roman" w:cstheme="minorHAnsi"/>
          <w:sz w:val="24"/>
          <w:szCs w:val="24"/>
        </w:rPr>
        <w:t xml:space="preserve">, 301 F.3d 39, 48 (2d Cir. 2002). </w:t>
      </w:r>
      <w:r w:rsidRPr="003B23EA">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petitioner</w:t>
      </w:r>
      <w:r w:rsidRPr="003B23EA">
        <w:rPr>
          <w:rFonts w:ascii="Times New Roman" w:eastAsia="Times New Roman" w:hAnsi="Times New Roman" w:cs="Times New Roman"/>
          <w:sz w:val="24"/>
          <w:szCs w:val="24"/>
        </w:rPr>
        <w:t xml:space="preserve"> raises a constitutional due process claim in his habeas petition,</w:t>
      </w:r>
      <w:r>
        <w:rPr>
          <w:rFonts w:ascii="Times New Roman" w:eastAsia="Times New Roman" w:hAnsi="Times New Roman" w:cs="Times New Roman"/>
          <w:sz w:val="24"/>
          <w:szCs w:val="24"/>
        </w:rPr>
        <w:t xml:space="preserve"> exhaustion of</w:t>
      </w:r>
      <w:r w:rsidRPr="003B23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due process claims would be futile.</w:t>
      </w:r>
    </w:p>
    <w:p w14:paraId="26530699" w14:textId="77777777" w:rsidR="00B55DC4" w:rsidRPr="00E83651" w:rsidRDefault="00B55DC4" w:rsidP="00B55DC4">
      <w:pPr>
        <w:pStyle w:val="ListParagraph"/>
        <w:numPr>
          <w:ilvl w:val="0"/>
          <w:numId w:val="32"/>
        </w:numPr>
        <w:spacing w:line="480" w:lineRule="auto"/>
        <w:ind w:left="0" w:firstLine="0"/>
        <w:rPr>
          <w:rFonts w:ascii="Times New Roman" w:eastAsia="Times New Roman" w:hAnsi="Times New Roman" w:cs="Times New Roman"/>
          <w:sz w:val="24"/>
          <w:szCs w:val="24"/>
        </w:rPr>
      </w:pPr>
      <w:r w:rsidRPr="00E83651">
        <w:rPr>
          <w:sz w:val="24"/>
          <w:szCs w:val="24"/>
        </w:rPr>
        <w:lastRenderedPageBreak/>
        <w:t xml:space="preserve">A </w:t>
      </w:r>
      <w:r w:rsidRPr="00E83651">
        <w:rPr>
          <w:rFonts w:eastAsia="Times New Roman" w:cstheme="minorHAnsi"/>
          <w:sz w:val="24"/>
          <w:szCs w:val="24"/>
        </w:rPr>
        <w:t>request</w:t>
      </w:r>
      <w:r w:rsidRPr="00E83651">
        <w:rPr>
          <w:sz w:val="24"/>
          <w:szCs w:val="24"/>
        </w:rPr>
        <w:t xml:space="preserve"> for release on humanitarian parole under 8 U.S.C. 1182(d)(5)(A) would also be futile. Parole review is conducted informally by DHS officers—the jailing authority—by checking a box on a form that contains no factual findings, no specific explanation, and no evidence of deliberation. There is no hearing, no record, and no administrative appeal from a negative parole decision, even to correct manifest errors. </w:t>
      </w:r>
      <w:r w:rsidRPr="00E83651">
        <w:rPr>
          <w:sz w:val="24"/>
          <w:szCs w:val="24"/>
          <w:u w:val="single"/>
        </w:rPr>
        <w:t>See</w:t>
      </w:r>
      <w:r w:rsidRPr="00E83651">
        <w:rPr>
          <w:sz w:val="24"/>
          <w:szCs w:val="24"/>
        </w:rPr>
        <w:t xml:space="preserve"> </w:t>
      </w:r>
      <w:r w:rsidRPr="00E83651">
        <w:rPr>
          <w:rFonts w:ascii="Times New Roman" w:hAnsi="Times New Roman" w:cs="Times New Roman"/>
          <w:sz w:val="24"/>
          <w:szCs w:val="24"/>
          <w:u w:val="single"/>
        </w:rPr>
        <w:t>Rodriguez v. Robbins</w:t>
      </w:r>
      <w:r w:rsidRPr="00E83651">
        <w:rPr>
          <w:rFonts w:ascii="Times New Roman" w:hAnsi="Times New Roman" w:cs="Times New Roman"/>
          <w:sz w:val="24"/>
          <w:szCs w:val="24"/>
        </w:rPr>
        <w:t xml:space="preserve">, </w:t>
      </w:r>
      <w:r w:rsidRPr="00E83651">
        <w:rPr>
          <w:rFonts w:eastAsia="Times New Roman" w:cs="Times New Roman"/>
          <w:sz w:val="24"/>
          <w:szCs w:val="24"/>
        </w:rPr>
        <w:t>804 F.3d 1060</w:t>
      </w:r>
      <w:r>
        <w:rPr>
          <w:rFonts w:eastAsia="Times New Roman" w:cs="Times New Roman"/>
          <w:sz w:val="24"/>
          <w:szCs w:val="24"/>
        </w:rPr>
        <w:t>, 1081</w:t>
      </w:r>
      <w:r w:rsidRPr="00E83651">
        <w:rPr>
          <w:rFonts w:eastAsia="Times New Roman" w:cs="Times New Roman"/>
          <w:sz w:val="24"/>
          <w:szCs w:val="24"/>
        </w:rPr>
        <w:t xml:space="preserve"> (9th Cir. 2015), </w:t>
      </w:r>
      <w:r w:rsidRPr="00E83651">
        <w:rPr>
          <w:rFonts w:ascii="Times New Roman" w:eastAsia="Times New Roman" w:hAnsi="Times New Roman" w:cs="Times New Roman"/>
          <w:sz w:val="24"/>
          <w:szCs w:val="24"/>
          <w:u w:val="single"/>
        </w:rPr>
        <w:t>cert. granted sub nom.</w:t>
      </w:r>
      <w:r w:rsidRPr="00E83651">
        <w:rPr>
          <w:rFonts w:ascii="Times New Roman" w:eastAsia="Times New Roman" w:hAnsi="Times New Roman" w:cs="Times New Roman"/>
          <w:sz w:val="24"/>
          <w:szCs w:val="24"/>
        </w:rPr>
        <w:t xml:space="preserve"> </w:t>
      </w:r>
      <w:r w:rsidRPr="00E83651">
        <w:rPr>
          <w:rFonts w:ascii="Times New Roman" w:eastAsia="Times New Roman" w:hAnsi="Times New Roman" w:cs="Times New Roman"/>
          <w:sz w:val="24"/>
          <w:szCs w:val="24"/>
          <w:u w:val="single"/>
        </w:rPr>
        <w:t>Jennings v. Rodriguez</w:t>
      </w:r>
      <w:r w:rsidRPr="00E83651">
        <w:rPr>
          <w:rFonts w:ascii="Times New Roman" w:eastAsia="Times New Roman" w:hAnsi="Times New Roman" w:cs="Times New Roman"/>
          <w:sz w:val="24"/>
          <w:szCs w:val="24"/>
        </w:rPr>
        <w:t>, 136 S. Ct. 2489, 195 L. Ed. 2d 821 (2016) (identifying denials of parole “</w:t>
      </w:r>
      <w:r w:rsidRPr="00E83651">
        <w:rPr>
          <w:rFonts w:ascii="Times New Roman" w:hAnsi="Times New Roman" w:cs="Times New Roman"/>
          <w:sz w:val="24"/>
          <w:szCs w:val="24"/>
        </w:rPr>
        <w:t xml:space="preserve">based on blatant errors: In two separate cases </w:t>
      </w:r>
      <w:r>
        <w:rPr>
          <w:rFonts w:ascii="Times New Roman" w:hAnsi="Times New Roman" w:cs="Times New Roman"/>
          <w:sz w:val="24"/>
          <w:szCs w:val="24"/>
        </w:rPr>
        <w:t>. . .</w:t>
      </w:r>
      <w:r w:rsidRPr="00E83651">
        <w:rPr>
          <w:rFonts w:ascii="Times New Roman" w:hAnsi="Times New Roman" w:cs="Times New Roman"/>
          <w:sz w:val="24"/>
          <w:szCs w:val="24"/>
        </w:rPr>
        <w:t xml:space="preserve"> officers apparently denied parole because they had confused Ethiopia with Somalia. And in a third case, an officer denied parole because he had mixed up two detainees’ files.”)</w:t>
      </w:r>
      <w:r>
        <w:rPr>
          <w:rFonts w:ascii="Times New Roman" w:hAnsi="Times New Roman" w:cs="Times New Roman"/>
          <w:sz w:val="24"/>
          <w:szCs w:val="24"/>
        </w:rPr>
        <w:t xml:space="preserve">; </w:t>
      </w:r>
      <w:r w:rsidRPr="00E83651">
        <w:rPr>
          <w:rFonts w:ascii="Times New Roman" w:eastAsia="Times New Roman" w:hAnsi="Times New Roman" w:cs="Times New Roman"/>
          <w:sz w:val="24"/>
          <w:szCs w:val="24"/>
          <w:u w:val="single"/>
        </w:rPr>
        <w:t>Nadarajah v. Gonzales</w:t>
      </w:r>
      <w:r w:rsidRPr="00E83651">
        <w:rPr>
          <w:rFonts w:ascii="Times New Roman" w:eastAsia="Times New Roman" w:hAnsi="Times New Roman" w:cs="Times New Roman"/>
          <w:sz w:val="24"/>
          <w:szCs w:val="24"/>
        </w:rPr>
        <w:t xml:space="preserve">, 443 F.3d 1069, 1082 (9th Cir. 2006) (finding that DHS abused its authority by denying parole). In the absence of </w:t>
      </w:r>
      <w:r>
        <w:rPr>
          <w:rFonts w:ascii="Times New Roman" w:eastAsia="Times New Roman" w:hAnsi="Times New Roman" w:cs="Times New Roman"/>
          <w:sz w:val="24"/>
          <w:szCs w:val="24"/>
        </w:rPr>
        <w:t xml:space="preserve">administratively </w:t>
      </w:r>
      <w:r w:rsidRPr="00E83651">
        <w:rPr>
          <w:rFonts w:ascii="Times New Roman" w:eastAsia="Times New Roman" w:hAnsi="Times New Roman" w:cs="Times New Roman"/>
          <w:sz w:val="24"/>
          <w:szCs w:val="24"/>
        </w:rPr>
        <w:t xml:space="preserve">enforceable standards, grants of parole have decreased sharply in recent years. </w:t>
      </w:r>
      <w:r w:rsidRPr="00E83651">
        <w:rPr>
          <w:rFonts w:ascii="Times New Roman" w:eastAsia="Times New Roman" w:hAnsi="Times New Roman" w:cs="Times New Roman"/>
          <w:sz w:val="24"/>
          <w:szCs w:val="24"/>
          <w:u w:val="single"/>
        </w:rPr>
        <w:t>See</w:t>
      </w:r>
      <w:r w:rsidRPr="00E83651">
        <w:rPr>
          <w:rFonts w:ascii="Times New Roman" w:eastAsia="Times New Roman" w:hAnsi="Times New Roman" w:cs="Times New Roman"/>
          <w:sz w:val="24"/>
          <w:szCs w:val="24"/>
        </w:rPr>
        <w:t xml:space="preserve"> Human Rights First, </w:t>
      </w:r>
      <w:r w:rsidRPr="003B23EA">
        <w:rPr>
          <w:rFonts w:ascii="Times New Roman" w:eastAsia="Times New Roman" w:hAnsi="Times New Roman" w:cs="Times New Roman"/>
          <w:sz w:val="24"/>
          <w:szCs w:val="24"/>
        </w:rPr>
        <w:t>Lifeline on Lockdown: Increased U.S. Detention of Asylum Seekers</w:t>
      </w:r>
      <w:r w:rsidRPr="00E83651">
        <w:rPr>
          <w:rFonts w:ascii="Times New Roman" w:eastAsia="Times New Roman" w:hAnsi="Times New Roman" w:cs="Times New Roman"/>
          <w:sz w:val="24"/>
          <w:szCs w:val="24"/>
        </w:rPr>
        <w:t xml:space="preserve"> 13 (2016) (</w:t>
      </w:r>
      <w:r>
        <w:rPr>
          <w:rFonts w:ascii="Times New Roman" w:eastAsia="Times New Roman" w:hAnsi="Times New Roman" w:cs="Times New Roman"/>
          <w:sz w:val="24"/>
          <w:szCs w:val="24"/>
        </w:rPr>
        <w:t>relying on government data to document</w:t>
      </w:r>
      <w:r w:rsidRPr="00E83651">
        <w:rPr>
          <w:rFonts w:ascii="Times New Roman" w:eastAsia="Times New Roman" w:hAnsi="Times New Roman" w:cs="Times New Roman"/>
          <w:sz w:val="24"/>
          <w:szCs w:val="24"/>
        </w:rPr>
        <w:t xml:space="preserve"> a one-third decrease in parole grants between 2012 and 2015).  </w:t>
      </w:r>
      <w:r w:rsidRPr="00E83651">
        <w:rPr>
          <w:rFonts w:ascii="Century Schoolbook" w:hAnsi="Century Schoolbook"/>
          <w:i/>
          <w:sz w:val="20"/>
          <w:szCs w:val="20"/>
        </w:rPr>
        <w:t xml:space="preserve"> </w:t>
      </w:r>
    </w:p>
    <w:p w14:paraId="5A30ECCE" w14:textId="77777777" w:rsidR="00B55DC4" w:rsidRPr="00197AFB" w:rsidRDefault="00B55DC4" w:rsidP="00B55DC4">
      <w:pPr>
        <w:pStyle w:val="ListParagraph"/>
        <w:numPr>
          <w:ilvl w:val="0"/>
          <w:numId w:val="32"/>
        </w:numPr>
        <w:spacing w:line="480" w:lineRule="auto"/>
        <w:ind w:left="0" w:firstLine="0"/>
        <w:rPr>
          <w:sz w:val="24"/>
          <w:szCs w:val="24"/>
        </w:rPr>
      </w:pPr>
      <w:r w:rsidRPr="00197AFB">
        <w:rPr>
          <w:sz w:val="24"/>
          <w:szCs w:val="24"/>
        </w:rPr>
        <w:t xml:space="preserve">President Trump has further restricted the </w:t>
      </w:r>
      <w:r>
        <w:rPr>
          <w:sz w:val="24"/>
          <w:szCs w:val="24"/>
        </w:rPr>
        <w:t xml:space="preserve">already </w:t>
      </w:r>
      <w:r w:rsidRPr="00197AFB">
        <w:rPr>
          <w:sz w:val="24"/>
          <w:szCs w:val="24"/>
        </w:rPr>
        <w:t xml:space="preserve">limited use of parole authority by ordering DHS officials to “end the abuse of parole and asylum provisions” in a January 2017 executive order. </w:t>
      </w:r>
      <w:r w:rsidRPr="00197AFB">
        <w:rPr>
          <w:sz w:val="24"/>
          <w:szCs w:val="24"/>
          <w:u w:val="single"/>
        </w:rPr>
        <w:t>See</w:t>
      </w:r>
      <w:r w:rsidRPr="00197AFB">
        <w:rPr>
          <w:sz w:val="24"/>
          <w:szCs w:val="24"/>
        </w:rPr>
        <w:t xml:space="preserve"> Exec. Order. No. 13,767: Border Security and Immigration Enforcement Improvements, 82 Fed. Reg. 8793 (Jan. 25, 2017).</w:t>
      </w:r>
    </w:p>
    <w:p w14:paraId="46B6FE8B" w14:textId="3EFB3B89" w:rsidR="002C34A4" w:rsidRPr="002C34A4" w:rsidRDefault="00B55DC4" w:rsidP="00B55DC4">
      <w:pPr>
        <w:pStyle w:val="ListParagraph"/>
        <w:numPr>
          <w:ilvl w:val="0"/>
          <w:numId w:val="32"/>
        </w:numPr>
        <w:spacing w:line="480" w:lineRule="auto"/>
        <w:ind w:left="0" w:firstLine="0"/>
        <w:rPr>
          <w:rFonts w:ascii="Times New Roman" w:hAnsi="Times New Roman" w:cs="Times New Roman"/>
          <w:sz w:val="24"/>
          <w:szCs w:val="24"/>
        </w:rPr>
      </w:pPr>
      <w:r w:rsidRPr="00B3113B">
        <w:rPr>
          <w:rFonts w:ascii="Times New Roman" w:hAnsi="Times New Roman" w:cs="Times New Roman"/>
          <w:sz w:val="24"/>
          <w:szCs w:val="24"/>
        </w:rPr>
        <w:t xml:space="preserve">Nonetheless, </w:t>
      </w:r>
      <w:r>
        <w:rPr>
          <w:rFonts w:ascii="Times New Roman" w:hAnsi="Times New Roman" w:cs="Times New Roman"/>
          <w:sz w:val="24"/>
          <w:szCs w:val="24"/>
        </w:rPr>
        <w:t>petitioner</w:t>
      </w:r>
      <w:r w:rsidRPr="00B3113B">
        <w:rPr>
          <w:rFonts w:ascii="Times New Roman" w:hAnsi="Times New Roman" w:cs="Times New Roman"/>
          <w:sz w:val="24"/>
          <w:szCs w:val="24"/>
        </w:rPr>
        <w:t xml:space="preserve"> submitted a humanitarian parole request seeking release from respondents on </w:t>
      </w:r>
      <w:r w:rsidRPr="00230EBF">
        <w:rPr>
          <w:rFonts w:ascii="Times New Roman" w:hAnsi="Times New Roman" w:cs="Times New Roman"/>
          <w:sz w:val="24"/>
          <w:szCs w:val="24"/>
          <w:highlight w:val="yellow"/>
        </w:rPr>
        <w:t xml:space="preserve">[date]. </w:t>
      </w:r>
      <w:r w:rsidRPr="00230EBF">
        <w:rPr>
          <w:rFonts w:ascii="Times New Roman" w:hAnsi="Times New Roman" w:cs="Times New Roman"/>
          <w:bCs/>
          <w:sz w:val="24"/>
          <w:szCs w:val="24"/>
          <w:highlight w:val="yellow"/>
          <w:u w:val="single"/>
        </w:rPr>
        <w:t xml:space="preserve">Cite </w:t>
      </w:r>
      <w:r w:rsidRPr="00B3113B">
        <w:rPr>
          <w:rFonts w:ascii="Times New Roman" w:hAnsi="Times New Roman" w:cs="Times New Roman"/>
          <w:bCs/>
          <w:sz w:val="24"/>
          <w:szCs w:val="24"/>
          <w:highlight w:val="yellow"/>
          <w:u w:val="single"/>
        </w:rPr>
        <w:t>to record.</w:t>
      </w:r>
      <w:r w:rsidRPr="00B3113B">
        <w:rPr>
          <w:rFonts w:ascii="Times New Roman" w:hAnsi="Times New Roman" w:cs="Times New Roman"/>
          <w:sz w:val="24"/>
          <w:szCs w:val="24"/>
        </w:rPr>
        <w:t xml:space="preserve"> Respondents denied that request on </w:t>
      </w:r>
      <w:r w:rsidRPr="009C36CE">
        <w:rPr>
          <w:rFonts w:ascii="Times New Roman" w:hAnsi="Times New Roman" w:cs="Times New Roman"/>
          <w:b/>
          <w:sz w:val="24"/>
          <w:szCs w:val="24"/>
          <w:highlight w:val="yellow"/>
        </w:rPr>
        <w:t>[date of parole denial]</w:t>
      </w:r>
      <w:r w:rsidRPr="00B3113B">
        <w:rPr>
          <w:rFonts w:ascii="Times New Roman" w:hAnsi="Times New Roman" w:cs="Times New Roman"/>
          <w:sz w:val="24"/>
          <w:szCs w:val="24"/>
        </w:rPr>
        <w:t xml:space="preserve">. </w:t>
      </w:r>
      <w:r w:rsidRPr="00B3113B">
        <w:rPr>
          <w:rFonts w:ascii="Times New Roman" w:hAnsi="Times New Roman" w:cs="Times New Roman"/>
          <w:bCs/>
          <w:sz w:val="24"/>
          <w:szCs w:val="24"/>
          <w:highlight w:val="yellow"/>
          <w:u w:val="single"/>
        </w:rPr>
        <w:t>Cite to record.</w:t>
      </w:r>
      <w:r w:rsidRPr="00B3113B">
        <w:rPr>
          <w:rFonts w:ascii="Times New Roman" w:hAnsi="Times New Roman" w:cs="Times New Roman"/>
          <w:bCs/>
          <w:sz w:val="24"/>
          <w:szCs w:val="24"/>
        </w:rPr>
        <w:t xml:space="preserve"> </w:t>
      </w:r>
      <w:r>
        <w:rPr>
          <w:rFonts w:ascii="Times New Roman" w:hAnsi="Times New Roman" w:cs="Times New Roman"/>
          <w:sz w:val="24"/>
          <w:szCs w:val="24"/>
        </w:rPr>
        <w:t>Petitioner</w:t>
      </w:r>
      <w:r w:rsidRPr="00B3113B">
        <w:rPr>
          <w:rFonts w:ascii="Times New Roman" w:hAnsi="Times New Roman" w:cs="Times New Roman"/>
          <w:sz w:val="24"/>
          <w:szCs w:val="24"/>
        </w:rPr>
        <w:t xml:space="preserve"> has therefore exhausted all </w:t>
      </w:r>
      <w:r>
        <w:rPr>
          <w:rFonts w:ascii="Times New Roman" w:hAnsi="Times New Roman" w:cs="Times New Roman"/>
          <w:sz w:val="24"/>
          <w:szCs w:val="24"/>
        </w:rPr>
        <w:t>available administrative remedies</w:t>
      </w:r>
      <w:r w:rsidRPr="00B3113B">
        <w:rPr>
          <w:rFonts w:ascii="Times New Roman" w:hAnsi="Times New Roman" w:cs="Times New Roman"/>
          <w:sz w:val="24"/>
          <w:szCs w:val="24"/>
        </w:rPr>
        <w:t>.</w:t>
      </w:r>
      <w:bookmarkStart w:id="5" w:name="_GoBack"/>
      <w:bookmarkEnd w:id="5"/>
      <w:r w:rsidR="002C34A4" w:rsidRPr="00B3113B">
        <w:rPr>
          <w:rFonts w:ascii="Times New Roman" w:eastAsia="Times New Roman" w:hAnsi="Times New Roman" w:cs="Times New Roman"/>
          <w:sz w:val="24"/>
          <w:szCs w:val="24"/>
        </w:rPr>
        <w:t xml:space="preserve"> </w:t>
      </w:r>
    </w:p>
    <w:p w14:paraId="5A55A0E2" w14:textId="357C0968" w:rsidR="00F01859" w:rsidRPr="003A2DBD" w:rsidRDefault="00F81C9B" w:rsidP="00F01859">
      <w:pPr>
        <w:pStyle w:val="ListParagraph"/>
        <w:ind w:left="0"/>
        <w:jc w:val="center"/>
        <w:rPr>
          <w:rFonts w:eastAsia="Times New Roman" w:cs="Times New Roman"/>
          <w:b/>
          <w:sz w:val="24"/>
          <w:szCs w:val="24"/>
        </w:rPr>
      </w:pPr>
      <w:r w:rsidRPr="003A2DBD">
        <w:rPr>
          <w:rFonts w:eastAsia="Times New Roman" w:cs="Times New Roman"/>
          <w:b/>
          <w:sz w:val="24"/>
          <w:szCs w:val="24"/>
        </w:rPr>
        <w:t xml:space="preserve">STATEMENT OF FACTS </w:t>
      </w:r>
    </w:p>
    <w:p w14:paraId="3CB01B14" w14:textId="77777777" w:rsidR="00F01859" w:rsidRPr="003A2DBD" w:rsidRDefault="00F01859" w:rsidP="00F01859">
      <w:pPr>
        <w:pStyle w:val="ListParagraph"/>
        <w:ind w:left="0"/>
        <w:rPr>
          <w:rFonts w:eastAsia="Times New Roman" w:cs="Times New Roman"/>
          <w:b/>
          <w:sz w:val="24"/>
          <w:szCs w:val="24"/>
          <w:u w:val="single"/>
        </w:rPr>
      </w:pPr>
    </w:p>
    <w:p w14:paraId="7597C063" w14:textId="77777777" w:rsidR="002C34A4" w:rsidRPr="00C65166" w:rsidRDefault="002C34A4" w:rsidP="002C34A4">
      <w:pPr>
        <w:pStyle w:val="ListParagraph"/>
        <w:numPr>
          <w:ilvl w:val="0"/>
          <w:numId w:val="32"/>
        </w:numPr>
        <w:spacing w:line="480" w:lineRule="auto"/>
        <w:ind w:left="0" w:firstLine="0"/>
        <w:rPr>
          <w:rFonts w:eastAsia="Times New Roman" w:cstheme="minorHAnsi"/>
          <w:sz w:val="24"/>
          <w:szCs w:val="24"/>
          <w:highlight w:val="yellow"/>
        </w:rPr>
      </w:pPr>
      <w:r w:rsidRPr="00C65166">
        <w:rPr>
          <w:rFonts w:eastAsia="Times New Roman" w:cstheme="minorHAnsi"/>
          <w:sz w:val="24"/>
          <w:szCs w:val="24"/>
          <w:highlight w:val="yellow"/>
        </w:rPr>
        <w:lastRenderedPageBreak/>
        <w:t>[Facts outlining the asylum claim, procedural history of the case, any delays that may be attributable to EOIR/ICE (missed or delayed hearings), why this is a good case for appe</w:t>
      </w:r>
      <w:r>
        <w:rPr>
          <w:rFonts w:eastAsia="Times New Roman" w:cstheme="minorHAnsi"/>
          <w:sz w:val="24"/>
          <w:szCs w:val="24"/>
          <w:highlight w:val="yellow"/>
        </w:rPr>
        <w:t>al (including any citations to 2</w:t>
      </w:r>
      <w:r w:rsidRPr="00C65166">
        <w:rPr>
          <w:rFonts w:eastAsia="Times New Roman" w:cstheme="minorHAnsi"/>
          <w:sz w:val="24"/>
          <w:szCs w:val="24"/>
          <w:highlight w:val="yellow"/>
        </w:rPr>
        <w:t>d Cir. case law) location of detention and its resemblance to a jail (could be a declaration from client). The relevant factors from</w:t>
      </w:r>
      <w:r>
        <w:rPr>
          <w:rFonts w:eastAsia="Times New Roman" w:cstheme="minorHAnsi"/>
          <w:sz w:val="24"/>
          <w:szCs w:val="24"/>
          <w:highlight w:val="yellow"/>
        </w:rPr>
        <w:t xml:space="preserve"> jurisdictions outside the Second Circuit</w:t>
      </w:r>
      <w:r w:rsidRPr="00C65166">
        <w:rPr>
          <w:rFonts w:eastAsia="Times New Roman" w:cstheme="minorHAnsi"/>
          <w:sz w:val="24"/>
          <w:szCs w:val="24"/>
          <w:highlight w:val="yellow"/>
        </w:rPr>
        <w:t xml:space="preserve"> </w:t>
      </w:r>
      <w:r w:rsidRPr="00C65166">
        <w:rPr>
          <w:rFonts w:eastAsia="Times New Roman" w:cstheme="minorHAnsi"/>
          <w:sz w:val="24"/>
          <w:szCs w:val="24"/>
          <w:highlight w:val="yellow"/>
          <w:u w:val="single"/>
        </w:rPr>
        <w:t>Diop</w:t>
      </w:r>
      <w:r w:rsidRPr="00C65166">
        <w:rPr>
          <w:rFonts w:eastAsia="Times New Roman" w:cstheme="minorHAnsi"/>
          <w:sz w:val="24"/>
          <w:szCs w:val="24"/>
          <w:highlight w:val="yellow"/>
        </w:rPr>
        <w:t xml:space="preserve"> and </w:t>
      </w:r>
      <w:r w:rsidRPr="00C65166">
        <w:rPr>
          <w:rFonts w:eastAsia="Times New Roman" w:cstheme="minorHAnsi"/>
          <w:sz w:val="24"/>
          <w:szCs w:val="24"/>
          <w:highlight w:val="yellow"/>
          <w:u w:val="single"/>
        </w:rPr>
        <w:t>Chavez Alvarez</w:t>
      </w:r>
      <w:r w:rsidRPr="00C65166">
        <w:rPr>
          <w:rFonts w:eastAsia="Times New Roman" w:cstheme="minorHAnsi"/>
          <w:sz w:val="24"/>
          <w:szCs w:val="24"/>
          <w:highlight w:val="yellow"/>
        </w:rPr>
        <w:t xml:space="preserve"> are the overall length of detention, the promptness of proceedings, the complexity of the case, the reasonable foreseeability of continued, lengthy litigation, and the conditions of confinement. Any facts that go to these issues.]</w:t>
      </w:r>
    </w:p>
    <w:p w14:paraId="1698FF22" w14:textId="77777777" w:rsidR="002C34A4" w:rsidRPr="00197AFB" w:rsidRDefault="002C34A4" w:rsidP="002C34A4">
      <w:pPr>
        <w:spacing w:line="480" w:lineRule="auto"/>
        <w:contextualSpacing/>
        <w:jc w:val="center"/>
        <w:rPr>
          <w:rFonts w:eastAsia="Times New Roman" w:cs="Times New Roman"/>
          <w:b/>
          <w:bCs/>
          <w:sz w:val="24"/>
          <w:szCs w:val="24"/>
          <w:u w:val="single"/>
        </w:rPr>
      </w:pPr>
      <w:r w:rsidRPr="003A2DBD">
        <w:rPr>
          <w:rFonts w:eastAsia="Times New Roman" w:cs="Times New Roman"/>
          <w:b/>
          <w:bCs/>
          <w:sz w:val="24"/>
          <w:szCs w:val="24"/>
          <w:u w:val="single"/>
        </w:rPr>
        <w:t xml:space="preserve"> </w:t>
      </w:r>
      <w:r w:rsidRPr="00197AFB">
        <w:rPr>
          <w:rFonts w:eastAsia="Times New Roman" w:cs="Times New Roman"/>
          <w:b/>
          <w:bCs/>
          <w:sz w:val="24"/>
          <w:szCs w:val="24"/>
          <w:u w:val="single"/>
        </w:rPr>
        <w:t>CLAIMS FOR RELIEF</w:t>
      </w:r>
    </w:p>
    <w:p w14:paraId="06808BE7" w14:textId="77777777" w:rsidR="002C34A4" w:rsidRPr="00197AFB" w:rsidRDefault="002C34A4" w:rsidP="002C34A4">
      <w:pPr>
        <w:spacing w:line="480" w:lineRule="auto"/>
        <w:contextualSpacing/>
        <w:jc w:val="center"/>
        <w:rPr>
          <w:rFonts w:cs="Times New Roman"/>
          <w:b/>
          <w:sz w:val="24"/>
          <w:szCs w:val="24"/>
        </w:rPr>
      </w:pPr>
      <w:r w:rsidRPr="00197AFB">
        <w:rPr>
          <w:rFonts w:cs="Times New Roman"/>
          <w:b/>
          <w:sz w:val="24"/>
          <w:szCs w:val="24"/>
        </w:rPr>
        <w:t>FIRST CLAIM FOR RELIEF</w:t>
      </w:r>
    </w:p>
    <w:p w14:paraId="0C83DA83" w14:textId="77777777" w:rsidR="002C34A4" w:rsidRPr="00197AFB" w:rsidRDefault="002C34A4" w:rsidP="002C34A4">
      <w:pPr>
        <w:spacing w:line="240" w:lineRule="auto"/>
        <w:contextualSpacing/>
        <w:jc w:val="center"/>
        <w:rPr>
          <w:rFonts w:eastAsia="Times New Roman" w:cs="Times New Roman"/>
          <w:b/>
          <w:bCs/>
          <w:sz w:val="24"/>
          <w:szCs w:val="24"/>
        </w:rPr>
      </w:pPr>
      <w:r w:rsidRPr="00197AFB">
        <w:rPr>
          <w:rFonts w:eastAsia="Times New Roman" w:cs="Times New Roman"/>
          <w:b/>
          <w:bCs/>
          <w:sz w:val="24"/>
          <w:szCs w:val="24"/>
        </w:rPr>
        <w:t>VIOLATION OF THE DUE PROCESS CLAUSE OF THE FIFTH AMENDMENT TO THE U.S. CONSTITUTION</w:t>
      </w:r>
    </w:p>
    <w:p w14:paraId="396292E8" w14:textId="77777777" w:rsidR="002C34A4" w:rsidRPr="00B3113B" w:rsidRDefault="002C34A4" w:rsidP="002C34A4">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Petitioner re-alleges and incorporates by reference the paragraphs above.</w:t>
      </w:r>
    </w:p>
    <w:p w14:paraId="15AA946B" w14:textId="77777777" w:rsidR="002C34A4" w:rsidRPr="00B3113B" w:rsidRDefault="002C34A4" w:rsidP="002C34A4">
      <w:pPr>
        <w:pStyle w:val="ListParagraph"/>
        <w:numPr>
          <w:ilvl w:val="0"/>
          <w:numId w:val="32"/>
        </w:numPr>
        <w:spacing w:line="480" w:lineRule="auto"/>
        <w:ind w:left="0" w:firstLine="0"/>
        <w:rPr>
          <w:rFonts w:ascii="Times New Roman" w:eastAsia="Times New Roman" w:hAnsi="Times New Roman" w:cs="Times New Roman"/>
          <w:sz w:val="24"/>
          <w:szCs w:val="24"/>
        </w:rPr>
      </w:pPr>
      <w:r>
        <w:rPr>
          <w:rFonts w:ascii="Times New Roman" w:hAnsi="Times New Roman" w:cs="Times New Roman"/>
          <w:sz w:val="24"/>
          <w:szCs w:val="24"/>
        </w:rPr>
        <w:t>Petitioner’s</w:t>
      </w:r>
      <w:r w:rsidRPr="00B3113B">
        <w:rPr>
          <w:rFonts w:ascii="Times New Roman" w:eastAsia="Times New Roman" w:hAnsi="Times New Roman" w:cs="Times New Roman"/>
          <w:sz w:val="24"/>
          <w:szCs w:val="24"/>
        </w:rPr>
        <w:t xml:space="preserve"> prolonged detention under § 1225(b) without any individualized assessment of the need for detention deprives </w:t>
      </w:r>
      <w:r>
        <w:rPr>
          <w:rFonts w:ascii="Times New Roman" w:eastAsia="Times New Roman" w:hAnsi="Times New Roman" w:cs="Times New Roman"/>
          <w:sz w:val="24"/>
          <w:szCs w:val="24"/>
        </w:rPr>
        <w:t>petitioner</w:t>
      </w:r>
      <w:r w:rsidRPr="00B3113B">
        <w:rPr>
          <w:rFonts w:ascii="Times New Roman" w:eastAsia="Times New Roman" w:hAnsi="Times New Roman" w:cs="Times New Roman"/>
          <w:sz w:val="24"/>
          <w:szCs w:val="24"/>
        </w:rPr>
        <w:t xml:space="preserve"> of due process of law. The Court should therefore order release from unconstitutional detention.</w:t>
      </w:r>
    </w:p>
    <w:p w14:paraId="4C0C80F2" w14:textId="77777777" w:rsidR="002C34A4" w:rsidRPr="00B3113B" w:rsidRDefault="002C34A4" w:rsidP="002C34A4">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The Due Process Clause of the Fifth Amendment forbids the government from depriving any “person” of liberty “without due process of law.” U.S. Const. amend. V.</w:t>
      </w:r>
      <w:r w:rsidRPr="00B3113B">
        <w:rPr>
          <w:rFonts w:ascii="Times New Roman" w:eastAsia="Times New Roman" w:hAnsi="Times New Roman" w:cs="Times New Roman"/>
          <w:b/>
          <w:sz w:val="24"/>
          <w:szCs w:val="24"/>
        </w:rPr>
        <w:t xml:space="preserve"> </w:t>
      </w:r>
    </w:p>
    <w:p w14:paraId="16BBA6F9" w14:textId="77777777" w:rsidR="002C34A4" w:rsidRPr="00B3113B" w:rsidRDefault="002C34A4" w:rsidP="002C34A4">
      <w:pPr>
        <w:pStyle w:val="ListParagraph"/>
        <w:numPr>
          <w:ilvl w:val="0"/>
          <w:numId w:val="32"/>
        </w:numPr>
        <w:spacing w:line="480" w:lineRule="auto"/>
        <w:ind w:left="0" w:firstLine="0"/>
        <w:rPr>
          <w:rFonts w:ascii="Times New Roman" w:eastAsia="Times New Roman" w:hAnsi="Times New Roman" w:cs="Times New Roman"/>
          <w:bCs/>
          <w:sz w:val="24"/>
          <w:szCs w:val="24"/>
        </w:rPr>
      </w:pPr>
      <w:r w:rsidRPr="00B3113B">
        <w:rPr>
          <w:rFonts w:ascii="Times New Roman" w:eastAsia="Times New Roman" w:hAnsi="Times New Roman" w:cs="Times New Roman"/>
          <w:sz w:val="24"/>
          <w:szCs w:val="24"/>
        </w:rPr>
        <w:t xml:space="preserve">“[T]he Due Process Clause applies to all ‘persons’ within the United States, including aliens, whether their presence here is lawful, unlawful, temporary, or permanent.” </w:t>
      </w:r>
      <w:r w:rsidRPr="00B3113B">
        <w:rPr>
          <w:rFonts w:ascii="Times New Roman" w:eastAsia="Times New Roman" w:hAnsi="Times New Roman" w:cs="Times New Roman"/>
          <w:sz w:val="24"/>
          <w:szCs w:val="24"/>
          <w:u w:val="single"/>
        </w:rPr>
        <w:t>Zadvydas v. Davis</w:t>
      </w:r>
      <w:r w:rsidRPr="00B3113B">
        <w:rPr>
          <w:rFonts w:ascii="Times New Roman" w:eastAsia="Times New Roman" w:hAnsi="Times New Roman" w:cs="Times New Roman"/>
          <w:sz w:val="24"/>
          <w:szCs w:val="24"/>
        </w:rPr>
        <w:t xml:space="preserve">, 533 U.S. 678, 693 (2001). For this reason, even </w:t>
      </w:r>
      <w:r w:rsidRPr="00B3113B">
        <w:rPr>
          <w:rFonts w:ascii="Times New Roman" w:eastAsia="Times New Roman" w:hAnsi="Times New Roman" w:cs="Times New Roman"/>
          <w:bCs/>
          <w:sz w:val="24"/>
          <w:szCs w:val="24"/>
        </w:rPr>
        <w:t xml:space="preserve">“removable and inadmissible aliens are entitled to be free from detention that is arbitrary and capricious,” </w:t>
      </w:r>
      <w:r w:rsidRPr="00B3113B">
        <w:rPr>
          <w:rFonts w:ascii="Times New Roman" w:eastAsia="Times New Roman" w:hAnsi="Times New Roman" w:cs="Times New Roman"/>
          <w:bCs/>
          <w:sz w:val="24"/>
          <w:szCs w:val="24"/>
          <w:u w:val="single"/>
        </w:rPr>
        <w:t>id.</w:t>
      </w:r>
      <w:r w:rsidRPr="00B3113B">
        <w:rPr>
          <w:rFonts w:ascii="Times New Roman" w:eastAsia="Times New Roman" w:hAnsi="Times New Roman" w:cs="Times New Roman"/>
          <w:bCs/>
          <w:sz w:val="24"/>
          <w:szCs w:val="24"/>
        </w:rPr>
        <w:t xml:space="preserve"> at 721 (Kennedy, J., dissenting)</w:t>
      </w:r>
      <w:r>
        <w:rPr>
          <w:rFonts w:ascii="Times New Roman" w:eastAsia="Times New Roman" w:hAnsi="Times New Roman" w:cs="Times New Roman"/>
          <w:bCs/>
          <w:sz w:val="24"/>
          <w:szCs w:val="24"/>
        </w:rPr>
        <w:t xml:space="preserve">. That constitutional protection is unaffected by the </w:t>
      </w:r>
      <w:r w:rsidRPr="00B3113B">
        <w:rPr>
          <w:rFonts w:ascii="Times New Roman" w:eastAsia="Times New Roman" w:hAnsi="Times New Roman" w:cs="Times New Roman"/>
          <w:bCs/>
          <w:sz w:val="24"/>
          <w:szCs w:val="24"/>
        </w:rPr>
        <w:t xml:space="preserve">government’s </w:t>
      </w:r>
      <w:r>
        <w:rPr>
          <w:rFonts w:ascii="Times New Roman" w:eastAsia="Times New Roman" w:hAnsi="Times New Roman" w:cs="Times New Roman"/>
          <w:bCs/>
          <w:sz w:val="24"/>
          <w:szCs w:val="24"/>
        </w:rPr>
        <w:t>authority</w:t>
      </w:r>
      <w:r w:rsidRPr="00B3113B">
        <w:rPr>
          <w:rFonts w:ascii="Times New Roman" w:eastAsia="Times New Roman" w:hAnsi="Times New Roman" w:cs="Times New Roman"/>
          <w:bCs/>
          <w:sz w:val="24"/>
          <w:szCs w:val="24"/>
        </w:rPr>
        <w:t xml:space="preserve"> to make </w:t>
      </w:r>
      <w:r w:rsidRPr="00B3113B">
        <w:rPr>
          <w:rFonts w:ascii="Times New Roman" w:eastAsia="Times New Roman" w:hAnsi="Times New Roman" w:cs="Times New Roman"/>
          <w:bCs/>
          <w:sz w:val="24"/>
          <w:szCs w:val="24"/>
        </w:rPr>
        <w:lastRenderedPageBreak/>
        <w:t xml:space="preserve">rules for “admission” that regulate the immigration status of noncitizens. </w:t>
      </w:r>
      <w:r w:rsidRPr="00B3113B">
        <w:rPr>
          <w:rFonts w:ascii="Times New Roman" w:eastAsia="Times New Roman" w:hAnsi="Times New Roman" w:cs="Times New Roman"/>
          <w:bCs/>
          <w:sz w:val="24"/>
          <w:szCs w:val="24"/>
          <w:u w:val="single"/>
        </w:rPr>
        <w:t>See</w:t>
      </w:r>
      <w:r w:rsidRPr="00B3113B">
        <w:rPr>
          <w:rFonts w:ascii="Times New Roman" w:eastAsia="Times New Roman" w:hAnsi="Times New Roman" w:cs="Times New Roman"/>
          <w:bCs/>
          <w:sz w:val="24"/>
          <w:szCs w:val="24"/>
        </w:rPr>
        <w:t xml:space="preserve"> 8 U.S.C. </w:t>
      </w:r>
      <w:r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bCs/>
          <w:sz w:val="24"/>
          <w:szCs w:val="24"/>
        </w:rPr>
        <w:t xml:space="preserve">1101(a)(13)(A) (defining admission as “the </w:t>
      </w:r>
      <w:r w:rsidRPr="00902A57">
        <w:rPr>
          <w:rFonts w:ascii="Times New Roman" w:eastAsia="Times New Roman" w:hAnsi="Times New Roman" w:cs="Times New Roman"/>
          <w:bCs/>
          <w:sz w:val="24"/>
          <w:szCs w:val="24"/>
        </w:rPr>
        <w:t>lawful</w:t>
      </w:r>
      <w:r w:rsidRPr="00B3113B">
        <w:rPr>
          <w:rFonts w:ascii="Times New Roman" w:eastAsia="Times New Roman" w:hAnsi="Times New Roman" w:cs="Times New Roman"/>
          <w:bCs/>
          <w:sz w:val="24"/>
          <w:szCs w:val="24"/>
        </w:rPr>
        <w:t xml:space="preserve"> entry of the alien”)</w:t>
      </w:r>
      <w:r>
        <w:rPr>
          <w:rFonts w:ascii="Times New Roman" w:eastAsia="Times New Roman" w:hAnsi="Times New Roman" w:cs="Times New Roman"/>
          <w:bCs/>
          <w:sz w:val="24"/>
          <w:szCs w:val="24"/>
        </w:rPr>
        <w:t>.</w:t>
      </w:r>
    </w:p>
    <w:p w14:paraId="380156E1" w14:textId="77777777" w:rsidR="002C34A4" w:rsidRPr="00B3113B" w:rsidRDefault="002C34A4" w:rsidP="002C34A4">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sz w:val="24"/>
          <w:szCs w:val="24"/>
        </w:rPr>
        <w:t xml:space="preserve">“A statute permitting indefinite detention of an alien would raise a serious constitutional problem” under the Fifth Amendment’s Due Process Clause. </w:t>
      </w:r>
      <w:r w:rsidRPr="00B3113B">
        <w:rPr>
          <w:rFonts w:ascii="Times New Roman" w:eastAsia="Times New Roman" w:hAnsi="Times New Roman" w:cs="Times New Roman"/>
          <w:iCs/>
          <w:sz w:val="24"/>
          <w:szCs w:val="24"/>
          <w:u w:val="single"/>
        </w:rPr>
        <w:t>Id.</w:t>
      </w:r>
      <w:r w:rsidRPr="00B3113B">
        <w:rPr>
          <w:rFonts w:ascii="Times New Roman" w:eastAsia="Times New Roman" w:hAnsi="Times New Roman" w:cs="Times New Roman"/>
          <w:sz w:val="24"/>
          <w:szCs w:val="24"/>
        </w:rPr>
        <w:t xml:space="preserve"> at 690. </w:t>
      </w:r>
      <w:r w:rsidRPr="00B3113B">
        <w:rPr>
          <w:rFonts w:ascii="Times New Roman" w:eastAsia="Times New Roman" w:hAnsi="Times New Roman" w:cs="Times New Roman"/>
          <w:bCs/>
          <w:sz w:val="24"/>
          <w:szCs w:val="24"/>
        </w:rPr>
        <w:t xml:space="preserve">That serious constitutional problem is raised by the government’s reading of </w:t>
      </w:r>
      <w:r w:rsidRPr="00B3113B">
        <w:rPr>
          <w:rFonts w:ascii="Times New Roman" w:eastAsia="Times New Roman" w:hAnsi="Times New Roman" w:cs="Times New Roman"/>
          <w:sz w:val="24"/>
          <w:szCs w:val="24"/>
        </w:rPr>
        <w:t xml:space="preserve">§ </w:t>
      </w:r>
      <w:r w:rsidRPr="00B3113B">
        <w:rPr>
          <w:rFonts w:ascii="Times New Roman" w:eastAsia="Times New Roman" w:hAnsi="Times New Roman" w:cs="Times New Roman"/>
          <w:bCs/>
          <w:sz w:val="24"/>
          <w:szCs w:val="24"/>
        </w:rPr>
        <w:t xml:space="preserve">1225(b). It interprets the statute to permit the indefinite detention of a noncitizen whom the government has not found to be removable or inadmissible, but instead granted the right to remain in the United States pending removal proceedings after demonstrating a credible fear of persecution to an asylum officer. </w:t>
      </w:r>
    </w:p>
    <w:p w14:paraId="266EC6F6" w14:textId="77777777" w:rsidR="002C34A4" w:rsidRPr="00C3779E" w:rsidRDefault="002C34A4" w:rsidP="002C34A4">
      <w:pPr>
        <w:pStyle w:val="ListParagraph"/>
        <w:numPr>
          <w:ilvl w:val="0"/>
          <w:numId w:val="32"/>
        </w:numPr>
        <w:spacing w:line="480" w:lineRule="auto"/>
        <w:ind w:left="0" w:firstLine="0"/>
        <w:rPr>
          <w:rFonts w:ascii="Times New Roman" w:eastAsia="Times New Roman" w:hAnsi="Times New Roman" w:cs="Times New Roman"/>
          <w:sz w:val="24"/>
          <w:szCs w:val="24"/>
        </w:rPr>
      </w:pPr>
      <w:r w:rsidRPr="00B3113B">
        <w:rPr>
          <w:rFonts w:ascii="Times New Roman" w:eastAsia="Times New Roman" w:hAnsi="Times New Roman" w:cs="Times New Roman"/>
          <w:bCs/>
          <w:sz w:val="24"/>
          <w:szCs w:val="24"/>
        </w:rPr>
        <w:t xml:space="preserve">In </w:t>
      </w:r>
      <w:r w:rsidRPr="00B3113B">
        <w:rPr>
          <w:rFonts w:ascii="Times New Roman" w:hAnsi="Times New Roman" w:cs="Times New Roman"/>
          <w:sz w:val="24"/>
          <w:szCs w:val="24"/>
          <w:u w:val="single"/>
        </w:rPr>
        <w:t>Zadvydas v. Davis</w:t>
      </w:r>
      <w:r w:rsidRPr="00B3113B">
        <w:rPr>
          <w:rFonts w:ascii="Times New Roman" w:hAnsi="Times New Roman" w:cs="Times New Roman"/>
          <w:sz w:val="24"/>
          <w:szCs w:val="24"/>
        </w:rPr>
        <w:t xml:space="preserve">, the Supreme Court rejected the government’s argument that its immigration powers permit it to indefinitely detain noncitizens after the conclusion of removal proceedings. </w:t>
      </w:r>
      <w:r w:rsidRPr="00B3113B">
        <w:rPr>
          <w:rFonts w:ascii="Times New Roman" w:hAnsi="Times New Roman" w:cs="Times New Roman"/>
          <w:sz w:val="24"/>
          <w:szCs w:val="24"/>
          <w:u w:val="single"/>
        </w:rPr>
        <w:t>Id.</w:t>
      </w:r>
      <w:r w:rsidRPr="00B3113B">
        <w:rPr>
          <w:rFonts w:ascii="Times New Roman" w:hAnsi="Times New Roman" w:cs="Times New Roman"/>
          <w:sz w:val="24"/>
          <w:szCs w:val="24"/>
        </w:rPr>
        <w:t xml:space="preserve"> at 695. Since then, the government has repeated that same argument to justify prolonged, indefinite detention pending removal proceedings. </w:t>
      </w:r>
      <w:r w:rsidRPr="00C3779E">
        <w:rPr>
          <w:rFonts w:ascii="Times New Roman" w:hAnsi="Times New Roman" w:cs="Times New Roman"/>
          <w:sz w:val="24"/>
          <w:szCs w:val="24"/>
        </w:rPr>
        <w:t xml:space="preserve"> </w:t>
      </w:r>
    </w:p>
    <w:p w14:paraId="02D3A150" w14:textId="77777777" w:rsidR="002C34A4" w:rsidRPr="00F218BE" w:rsidRDefault="002C34A4" w:rsidP="002C34A4">
      <w:pPr>
        <w:pStyle w:val="ListParagraph"/>
        <w:numPr>
          <w:ilvl w:val="0"/>
          <w:numId w:val="32"/>
        </w:numPr>
        <w:spacing w:line="480" w:lineRule="auto"/>
        <w:ind w:left="0" w:firstLine="0"/>
        <w:rPr>
          <w:rFonts w:eastAsia="Times New Roman" w:cstheme="minorHAnsi"/>
          <w:sz w:val="24"/>
          <w:szCs w:val="24"/>
        </w:rPr>
      </w:pPr>
      <w:r w:rsidRPr="00197AFB">
        <w:rPr>
          <w:rFonts w:ascii="Times New Roman" w:hAnsi="Times New Roman" w:cs="Times New Roman"/>
          <w:sz w:val="24"/>
          <w:szCs w:val="24"/>
        </w:rPr>
        <w:t xml:space="preserve">Each time, federal courts have roundly rejected it. </w:t>
      </w:r>
      <w:r w:rsidRPr="00197AFB">
        <w:rPr>
          <w:rFonts w:ascii="Times New Roman" w:eastAsia="Times New Roman" w:hAnsi="Times New Roman" w:cs="Times New Roman"/>
          <w:sz w:val="24"/>
          <w:szCs w:val="24"/>
        </w:rPr>
        <w:t xml:space="preserve">Every Court of Appeals to consider prolonged detention under </w:t>
      </w:r>
      <w:r w:rsidRPr="00197AFB">
        <w:rPr>
          <w:rFonts w:eastAsia="Times New Roman" w:cs="Times New Roman"/>
          <w:sz w:val="24"/>
          <w:szCs w:val="24"/>
        </w:rPr>
        <w:t xml:space="preserve">INA § 236(c), 8 U.S.C. § 1226(c)—a statute that, like § 1225(b) mandates detention </w:t>
      </w:r>
      <w:r>
        <w:rPr>
          <w:rFonts w:eastAsia="Times New Roman" w:cs="Times New Roman"/>
          <w:sz w:val="24"/>
          <w:szCs w:val="24"/>
        </w:rPr>
        <w:t xml:space="preserve">of inadmissible noncitizens </w:t>
      </w:r>
      <w:r w:rsidRPr="00197AFB">
        <w:rPr>
          <w:rFonts w:eastAsia="Times New Roman" w:cs="Times New Roman"/>
          <w:sz w:val="24"/>
          <w:szCs w:val="24"/>
        </w:rPr>
        <w:t xml:space="preserve">pending removal proceedings—holds it limited to a reasonable period by the Due Process Clause. </w:t>
      </w:r>
      <w:r w:rsidRPr="00197AFB">
        <w:rPr>
          <w:rFonts w:eastAsia="Times New Roman" w:cs="Times New Roman"/>
          <w:sz w:val="24"/>
          <w:szCs w:val="24"/>
          <w:u w:val="single"/>
        </w:rPr>
        <w:t>See</w:t>
      </w:r>
      <w:r w:rsidRPr="00197AFB">
        <w:rPr>
          <w:rFonts w:eastAsia="Times New Roman" w:cs="Times New Roman"/>
          <w:sz w:val="24"/>
          <w:szCs w:val="24"/>
        </w:rPr>
        <w:t xml:space="preserve"> </w:t>
      </w:r>
      <w:r w:rsidRPr="00197AFB">
        <w:rPr>
          <w:rFonts w:ascii="Times New Roman" w:eastAsia="Times New Roman" w:hAnsi="Times New Roman" w:cs="Times New Roman"/>
          <w:sz w:val="24"/>
          <w:szCs w:val="24"/>
          <w:u w:val="single"/>
        </w:rPr>
        <w:t>Sopo v. U.S. Attorney Gen.</w:t>
      </w:r>
      <w:r w:rsidRPr="00197AFB">
        <w:rPr>
          <w:rFonts w:ascii="Times New Roman" w:eastAsia="Times New Roman" w:hAnsi="Times New Roman" w:cs="Times New Roman"/>
          <w:sz w:val="24"/>
          <w:szCs w:val="24"/>
        </w:rPr>
        <w:t xml:space="preserve">, 825 F.3d 1199 (11th Cir. 2016); </w:t>
      </w:r>
      <w:r w:rsidRPr="00197AFB">
        <w:rPr>
          <w:rFonts w:eastAsia="Times New Roman" w:cs="Times New Roman"/>
          <w:sz w:val="24"/>
          <w:szCs w:val="24"/>
          <w:u w:val="single"/>
        </w:rPr>
        <w:t>Reid v. Donelan</w:t>
      </w:r>
      <w:r w:rsidRPr="00197AFB">
        <w:rPr>
          <w:rFonts w:eastAsia="Times New Roman" w:cs="Times New Roman"/>
          <w:sz w:val="24"/>
          <w:szCs w:val="24"/>
        </w:rPr>
        <w:t xml:space="preserve">, 819 F.3d 486 (1st Cir. 2016); </w:t>
      </w:r>
      <w:r w:rsidRPr="00197AFB">
        <w:rPr>
          <w:rFonts w:eastAsia="Times New Roman" w:cs="Times New Roman"/>
          <w:sz w:val="24"/>
          <w:szCs w:val="24"/>
          <w:u w:val="single"/>
        </w:rPr>
        <w:t>Lora v. Shanahan</w:t>
      </w:r>
      <w:r w:rsidRPr="00197AFB">
        <w:rPr>
          <w:rFonts w:eastAsia="Times New Roman" w:cs="Times New Roman"/>
          <w:sz w:val="24"/>
          <w:szCs w:val="24"/>
        </w:rPr>
        <w:t xml:space="preserve">, 804 F.3d 601 (2d Cir. 2015); </w:t>
      </w:r>
      <w:r w:rsidRPr="00197AFB">
        <w:rPr>
          <w:rFonts w:eastAsia="Times New Roman" w:cs="Times New Roman"/>
          <w:sz w:val="24"/>
          <w:szCs w:val="24"/>
          <w:u w:val="single"/>
        </w:rPr>
        <w:t xml:space="preserve">Rodriguez </w:t>
      </w:r>
      <w:r w:rsidRPr="00197AFB">
        <w:rPr>
          <w:rFonts w:ascii="Times New Roman" w:eastAsia="Times New Roman" w:hAnsi="Times New Roman" w:cs="Times New Roman"/>
          <w:sz w:val="24"/>
          <w:szCs w:val="24"/>
          <w:u w:val="single"/>
        </w:rPr>
        <w:t>v. Robbins</w:t>
      </w:r>
      <w:r>
        <w:rPr>
          <w:rFonts w:eastAsia="Times New Roman" w:cs="Times New Roman"/>
          <w:sz w:val="24"/>
          <w:szCs w:val="24"/>
        </w:rPr>
        <w:t>, 804 F.3d 1060 (9th Cir. 2015)</w:t>
      </w:r>
      <w:r w:rsidRPr="00197AFB">
        <w:rPr>
          <w:rFonts w:eastAsia="Times New Roman" w:cs="Times New Roman"/>
          <w:sz w:val="24"/>
          <w:szCs w:val="24"/>
        </w:rPr>
        <w:t xml:space="preserve">; </w:t>
      </w:r>
      <w:r w:rsidRPr="00197AFB">
        <w:rPr>
          <w:rFonts w:ascii="Times New Roman" w:hAnsi="Times New Roman" w:cs="Times New Roman"/>
          <w:sz w:val="24"/>
          <w:szCs w:val="24"/>
          <w:u w:val="single"/>
        </w:rPr>
        <w:t>Diop v. ICE/Homeland Sec.</w:t>
      </w:r>
      <w:r w:rsidRPr="00197AFB">
        <w:rPr>
          <w:rFonts w:ascii="Times New Roman" w:hAnsi="Times New Roman" w:cs="Times New Roman"/>
          <w:sz w:val="24"/>
          <w:szCs w:val="24"/>
        </w:rPr>
        <w:t>, 656 F.3d 221 (3d Cir.2011)</w:t>
      </w:r>
      <w:r w:rsidRPr="00197AFB">
        <w:rPr>
          <w:rFonts w:eastAsia="Times New Roman" w:cs="Times New Roman"/>
          <w:sz w:val="24"/>
          <w:szCs w:val="24"/>
        </w:rPr>
        <w:t xml:space="preserve">; </w:t>
      </w:r>
      <w:r w:rsidRPr="00197AFB">
        <w:rPr>
          <w:rFonts w:eastAsia="Times New Roman" w:cs="Times New Roman"/>
          <w:sz w:val="24"/>
          <w:szCs w:val="24"/>
          <w:u w:val="single"/>
        </w:rPr>
        <w:t>Ly v. Hansen</w:t>
      </w:r>
      <w:r w:rsidRPr="00197AFB">
        <w:rPr>
          <w:rFonts w:eastAsia="Times New Roman" w:cs="Times New Roman"/>
          <w:sz w:val="24"/>
          <w:szCs w:val="24"/>
        </w:rPr>
        <w:t>, 351 F.3d 263 (6th Cir. 2003).</w:t>
      </w:r>
      <w:r>
        <w:rPr>
          <w:rFonts w:eastAsia="Times New Roman" w:cs="Times New Roman"/>
          <w:sz w:val="24"/>
          <w:szCs w:val="24"/>
        </w:rPr>
        <w:t xml:space="preserve"> None of these decisions distinguishes between previously admitted and inadmissible noncitizens. Instead, they find that due process limits the period that any noncitizen may be held in prolonged mandatory detention pending removal proceedings. </w:t>
      </w:r>
    </w:p>
    <w:p w14:paraId="0BE03AA7" w14:textId="77777777" w:rsidR="002C34A4" w:rsidRPr="00F218BE" w:rsidRDefault="002C34A4" w:rsidP="002C34A4">
      <w:pPr>
        <w:pStyle w:val="ListParagraph"/>
        <w:numPr>
          <w:ilvl w:val="0"/>
          <w:numId w:val="32"/>
        </w:numPr>
        <w:spacing w:line="480" w:lineRule="auto"/>
        <w:ind w:left="0" w:firstLine="0"/>
        <w:rPr>
          <w:rFonts w:eastAsia="Times New Roman" w:cstheme="minorHAnsi"/>
          <w:sz w:val="24"/>
          <w:szCs w:val="24"/>
        </w:rPr>
      </w:pPr>
      <w:r w:rsidRPr="00197AFB">
        <w:rPr>
          <w:rFonts w:ascii="Times New Roman" w:hAnsi="Times New Roman" w:cs="Times New Roman"/>
          <w:sz w:val="24"/>
          <w:szCs w:val="24"/>
        </w:rPr>
        <w:lastRenderedPageBreak/>
        <w:t xml:space="preserve">In doing so, they follow </w:t>
      </w:r>
      <w:r w:rsidRPr="00197AFB">
        <w:rPr>
          <w:rFonts w:ascii="Times New Roman" w:hAnsi="Times New Roman" w:cs="Times New Roman"/>
          <w:sz w:val="24"/>
          <w:szCs w:val="24"/>
          <w:u w:val="single"/>
        </w:rPr>
        <w:t>Demore v. Kim</w:t>
      </w:r>
      <w:r w:rsidRPr="00197AFB">
        <w:rPr>
          <w:rFonts w:ascii="Times New Roman" w:hAnsi="Times New Roman" w:cs="Times New Roman"/>
          <w:sz w:val="24"/>
          <w:szCs w:val="24"/>
        </w:rPr>
        <w:t>, 538 U.S. 510, 518 (2003)</w:t>
      </w:r>
      <w:r>
        <w:rPr>
          <w:rFonts w:ascii="Times New Roman" w:hAnsi="Times New Roman" w:cs="Times New Roman"/>
          <w:sz w:val="24"/>
          <w:szCs w:val="24"/>
        </w:rPr>
        <w:t>.</w:t>
      </w:r>
      <w:r w:rsidRPr="00197AFB">
        <w:rPr>
          <w:rFonts w:ascii="Times New Roman" w:hAnsi="Times New Roman" w:cs="Times New Roman"/>
          <w:sz w:val="24"/>
          <w:szCs w:val="24"/>
        </w:rPr>
        <w:t xml:space="preserve"> </w:t>
      </w:r>
      <w:r>
        <w:rPr>
          <w:rFonts w:ascii="Times New Roman" w:hAnsi="Times New Roman" w:cs="Times New Roman"/>
          <w:sz w:val="24"/>
          <w:szCs w:val="24"/>
          <w:u w:val="single"/>
        </w:rPr>
        <w:t>Demore</w:t>
      </w:r>
      <w:r w:rsidRPr="00197AFB">
        <w:rPr>
          <w:rFonts w:ascii="Times New Roman" w:hAnsi="Times New Roman" w:cs="Times New Roman"/>
          <w:sz w:val="24"/>
          <w:szCs w:val="24"/>
        </w:rPr>
        <w:t xml:space="preserve"> identified mandatory detention pending removal proceedings as a “brief period,” lasting “roughly a month and a half in the vast majority of cases in which it is invoked, and about five months in the minority of cases in which the alien chooses to appeal.”</w:t>
      </w:r>
    </w:p>
    <w:p w14:paraId="3436E22D" w14:textId="5E66B409" w:rsidR="002C34A4" w:rsidRPr="00197AFB" w:rsidRDefault="002C34A4" w:rsidP="002C34A4">
      <w:pPr>
        <w:pStyle w:val="ListParagraph"/>
        <w:numPr>
          <w:ilvl w:val="0"/>
          <w:numId w:val="32"/>
        </w:numPr>
        <w:spacing w:line="480" w:lineRule="auto"/>
        <w:ind w:left="0" w:firstLine="0"/>
        <w:rPr>
          <w:rFonts w:eastAsia="Times New Roman" w:cstheme="minorHAnsi"/>
          <w:sz w:val="24"/>
          <w:szCs w:val="24"/>
        </w:rPr>
      </w:pPr>
      <w:r w:rsidRPr="00197AFB">
        <w:rPr>
          <w:rFonts w:ascii="Times New Roman" w:eastAsia="Times New Roman" w:hAnsi="Times New Roman" w:cs="Times New Roman"/>
          <w:sz w:val="24"/>
          <w:szCs w:val="24"/>
        </w:rPr>
        <w:t xml:space="preserve">Thus, </w:t>
      </w:r>
      <w:r w:rsidRPr="00197AFB">
        <w:rPr>
          <w:rFonts w:eastAsia="Times New Roman" w:cs="Times New Roman"/>
          <w:sz w:val="24"/>
          <w:szCs w:val="24"/>
        </w:rPr>
        <w:t xml:space="preserve">in the Second and Ninth Circuits, the reasonable period of § 1226(c) mandatory detention pending removal proceedings ends at six months. </w:t>
      </w:r>
      <w:r w:rsidRPr="00197AFB">
        <w:rPr>
          <w:rFonts w:ascii="Times New Roman" w:eastAsia="Times New Roman" w:hAnsi="Times New Roman" w:cs="Times New Roman"/>
          <w:sz w:val="24"/>
          <w:szCs w:val="24"/>
          <w:u w:val="single"/>
        </w:rPr>
        <w:t>Lora</w:t>
      </w:r>
      <w:r w:rsidRPr="00197AFB">
        <w:rPr>
          <w:rFonts w:ascii="Times New Roman" w:eastAsia="Times New Roman" w:hAnsi="Times New Roman" w:cs="Times New Roman"/>
          <w:sz w:val="24"/>
          <w:szCs w:val="24"/>
        </w:rPr>
        <w:t xml:space="preserve">, </w:t>
      </w:r>
      <w:r w:rsidRPr="00197AFB">
        <w:rPr>
          <w:rFonts w:eastAsia="Times New Roman" w:cs="Times New Roman"/>
          <w:sz w:val="24"/>
          <w:szCs w:val="24"/>
        </w:rPr>
        <w:t xml:space="preserve">804 F.3d at 613; </w:t>
      </w:r>
      <w:r w:rsidRPr="00197AFB">
        <w:rPr>
          <w:rFonts w:eastAsia="Times New Roman" w:cs="Times New Roman"/>
          <w:sz w:val="24"/>
          <w:szCs w:val="24"/>
          <w:u w:val="single"/>
        </w:rPr>
        <w:t>Rodriguez</w:t>
      </w:r>
      <w:r w:rsidRPr="00197AFB">
        <w:rPr>
          <w:rFonts w:eastAsia="Times New Roman" w:cs="Times New Roman"/>
          <w:sz w:val="24"/>
          <w:szCs w:val="24"/>
        </w:rPr>
        <w:t xml:space="preserve">, </w:t>
      </w:r>
      <w:r w:rsidRPr="00197AFB">
        <w:rPr>
          <w:rFonts w:ascii="Times New Roman" w:eastAsia="Times New Roman" w:hAnsi="Times New Roman" w:cs="Times New Roman"/>
          <w:sz w:val="24"/>
          <w:szCs w:val="24"/>
        </w:rPr>
        <w:t>804 F.3d at 1065</w:t>
      </w:r>
      <w:r w:rsidRPr="00197AFB">
        <w:rPr>
          <w:rFonts w:eastAsia="Times New Roman" w:cs="Times New Roman"/>
          <w:sz w:val="24"/>
          <w:szCs w:val="24"/>
        </w:rPr>
        <w:t xml:space="preserve">. </w:t>
      </w:r>
      <w:r>
        <w:rPr>
          <w:rFonts w:eastAsia="Times New Roman" w:cs="Times New Roman"/>
          <w:sz w:val="24"/>
          <w:szCs w:val="24"/>
        </w:rPr>
        <w:t>The remaining circuits to have addressed the issue hold detention unreasonable some time after</w:t>
      </w:r>
      <w:r w:rsidRPr="00197AFB">
        <w:rPr>
          <w:rFonts w:eastAsia="Times New Roman" w:cs="Times New Roman"/>
          <w:sz w:val="24"/>
          <w:szCs w:val="24"/>
        </w:rPr>
        <w:t xml:space="preserve"> six months, depending on the facts and circumstances of the case, with nine months </w:t>
      </w:r>
      <w:r w:rsidRPr="00197AFB">
        <w:rPr>
          <w:rFonts w:ascii="Times New Roman" w:hAnsi="Times New Roman" w:cs="Times New Roman"/>
          <w:sz w:val="24"/>
          <w:szCs w:val="24"/>
        </w:rPr>
        <w:t>“straining any common-sense definition of a limited or brief civil detention.”</w:t>
      </w:r>
      <w:r w:rsidRPr="00197AFB">
        <w:rPr>
          <w:rFonts w:eastAsia="Times New Roman" w:cs="Times New Roman"/>
          <w:sz w:val="24"/>
          <w:szCs w:val="24"/>
        </w:rPr>
        <w:t xml:space="preserve"> </w:t>
      </w:r>
      <w:r w:rsidRPr="00197AFB">
        <w:rPr>
          <w:rFonts w:ascii="Times New Roman" w:eastAsia="Times New Roman" w:hAnsi="Times New Roman" w:cs="Times New Roman"/>
          <w:sz w:val="24"/>
          <w:szCs w:val="24"/>
          <w:u w:val="single"/>
        </w:rPr>
        <w:t>Chavez-Alvarez v. Warden York Cty. Prison</w:t>
      </w:r>
      <w:r w:rsidRPr="00197AFB">
        <w:rPr>
          <w:rFonts w:ascii="Times New Roman" w:eastAsia="Times New Roman" w:hAnsi="Times New Roman" w:cs="Times New Roman"/>
          <w:sz w:val="24"/>
          <w:szCs w:val="24"/>
        </w:rPr>
        <w:t>, 783 F.3d 469, 477 (3d Cir. 2015).</w:t>
      </w:r>
    </w:p>
    <w:p w14:paraId="388FAA16" w14:textId="77777777" w:rsidR="002C34A4" w:rsidRPr="00197AFB" w:rsidRDefault="002C34A4" w:rsidP="002C34A4">
      <w:pPr>
        <w:pStyle w:val="ListParagraph"/>
        <w:numPr>
          <w:ilvl w:val="0"/>
          <w:numId w:val="32"/>
        </w:numPr>
        <w:spacing w:line="480" w:lineRule="auto"/>
        <w:ind w:left="0" w:firstLine="0"/>
        <w:rPr>
          <w:rFonts w:eastAsia="Times New Roman" w:cs="Times New Roman"/>
          <w:sz w:val="24"/>
          <w:szCs w:val="24"/>
        </w:rPr>
      </w:pPr>
      <w:r w:rsidRPr="00197AFB">
        <w:rPr>
          <w:rFonts w:eastAsia="Times New Roman" w:cs="Times New Roman"/>
          <w:sz w:val="24"/>
          <w:szCs w:val="24"/>
        </w:rPr>
        <w:t>The only Court of Appeals to consider prolonged detention under § 1225(b) holds that “t</w:t>
      </w:r>
      <w:r w:rsidRPr="00197AFB">
        <w:rPr>
          <w:rFonts w:ascii="Times New Roman" w:eastAsia="Times New Roman" w:hAnsi="Times New Roman" w:cs="Times New Roman"/>
          <w:sz w:val="24"/>
          <w:szCs w:val="24"/>
        </w:rPr>
        <w:t xml:space="preserve">o avoid serious constitutional concerns, mandatory detention under § 1225(b) . . . must be construed as implicitly time-limited.” </w:t>
      </w:r>
      <w:r w:rsidRPr="00197AFB">
        <w:rPr>
          <w:rFonts w:ascii="Times New Roman" w:eastAsia="Times New Roman" w:hAnsi="Times New Roman" w:cs="Times New Roman"/>
          <w:sz w:val="24"/>
          <w:szCs w:val="24"/>
          <w:u w:val="single"/>
        </w:rPr>
        <w:t>Rodriguez</w:t>
      </w:r>
      <w:r w:rsidRPr="00197AFB">
        <w:rPr>
          <w:rFonts w:ascii="Times New Roman" w:eastAsia="Times New Roman" w:hAnsi="Times New Roman" w:cs="Times New Roman"/>
          <w:sz w:val="24"/>
          <w:szCs w:val="24"/>
        </w:rPr>
        <w:t xml:space="preserve">, 804 F.3d 1060. </w:t>
      </w:r>
    </w:p>
    <w:p w14:paraId="7A7CDF19" w14:textId="7341499B" w:rsidR="002C34A4" w:rsidRDefault="002C34A4" w:rsidP="002C34A4">
      <w:pPr>
        <w:pStyle w:val="ListParagraph"/>
        <w:numPr>
          <w:ilvl w:val="0"/>
          <w:numId w:val="32"/>
        </w:numPr>
        <w:spacing w:line="480" w:lineRule="auto"/>
        <w:ind w:left="0" w:firstLine="0"/>
        <w:rPr>
          <w:rFonts w:cstheme="minorHAnsi"/>
          <w:color w:val="222222"/>
          <w:sz w:val="24"/>
          <w:szCs w:val="24"/>
          <w:shd w:val="clear" w:color="auto" w:fill="FFFFFF"/>
        </w:rPr>
      </w:pPr>
      <w:r w:rsidRPr="00197AFB">
        <w:rPr>
          <w:rFonts w:ascii="Times New Roman" w:eastAsia="Times New Roman" w:hAnsi="Times New Roman" w:cs="Times New Roman"/>
          <w:sz w:val="24"/>
          <w:szCs w:val="24"/>
        </w:rPr>
        <w:t xml:space="preserve">Following </w:t>
      </w:r>
      <w:r w:rsidR="008D0FC1">
        <w:rPr>
          <w:rFonts w:ascii="Times New Roman" w:eastAsia="Times New Roman" w:hAnsi="Times New Roman" w:cs="Times New Roman"/>
          <w:sz w:val="24"/>
          <w:szCs w:val="24"/>
          <w:u w:val="single"/>
        </w:rPr>
        <w:t>Rodriguez</w:t>
      </w:r>
      <w:r w:rsidRPr="00197AFB">
        <w:rPr>
          <w:rFonts w:ascii="Times New Roman" w:eastAsia="Times New Roman" w:hAnsi="Times New Roman" w:cs="Times New Roman"/>
          <w:sz w:val="24"/>
          <w:szCs w:val="24"/>
        </w:rPr>
        <w:t xml:space="preserve"> and </w:t>
      </w:r>
      <w:r w:rsidR="008D0FC1">
        <w:rPr>
          <w:rFonts w:ascii="Times New Roman" w:eastAsia="Times New Roman" w:hAnsi="Times New Roman" w:cs="Times New Roman"/>
          <w:sz w:val="24"/>
          <w:szCs w:val="24"/>
          <w:u w:val="single"/>
        </w:rPr>
        <w:t>Lora</w:t>
      </w:r>
      <w:r w:rsidRPr="00197AFB">
        <w:rPr>
          <w:rFonts w:ascii="Times New Roman" w:eastAsia="Times New Roman" w:hAnsi="Times New Roman" w:cs="Times New Roman"/>
          <w:sz w:val="24"/>
          <w:szCs w:val="24"/>
        </w:rPr>
        <w:t xml:space="preserve">, numerous district courts in the </w:t>
      </w:r>
      <w:r w:rsidR="008D0FC1">
        <w:rPr>
          <w:rFonts w:ascii="Times New Roman" w:eastAsia="Times New Roman" w:hAnsi="Times New Roman" w:cs="Times New Roman"/>
          <w:sz w:val="24"/>
          <w:szCs w:val="24"/>
        </w:rPr>
        <w:t>Second</w:t>
      </w:r>
      <w:r w:rsidRPr="00197AFB">
        <w:rPr>
          <w:rFonts w:ascii="Times New Roman" w:eastAsia="Times New Roman" w:hAnsi="Times New Roman" w:cs="Times New Roman"/>
          <w:sz w:val="24"/>
          <w:szCs w:val="24"/>
        </w:rPr>
        <w:t xml:space="preserve"> Circuit hold that due process limits mandatory detention under </w:t>
      </w:r>
      <w:r w:rsidRPr="00197AFB">
        <w:rPr>
          <w:rFonts w:eastAsia="Times New Roman" w:cs="Times New Roman"/>
          <w:sz w:val="24"/>
          <w:szCs w:val="24"/>
        </w:rPr>
        <w:t xml:space="preserve">§ 1225(b) </w:t>
      </w:r>
      <w:r w:rsidRPr="00197AFB">
        <w:rPr>
          <w:rFonts w:ascii="Times New Roman" w:eastAsia="Times New Roman" w:hAnsi="Times New Roman" w:cs="Times New Roman"/>
          <w:sz w:val="24"/>
          <w:szCs w:val="24"/>
        </w:rPr>
        <w:t>to a reasonable period</w:t>
      </w:r>
      <w:r w:rsidR="008D0FC1">
        <w:rPr>
          <w:rFonts w:ascii="Times New Roman" w:eastAsia="Times New Roman" w:hAnsi="Times New Roman" w:cs="Times New Roman"/>
          <w:sz w:val="24"/>
          <w:szCs w:val="24"/>
        </w:rPr>
        <w:t xml:space="preserve"> of six months</w:t>
      </w:r>
      <w:r w:rsidRPr="00197AFB">
        <w:rPr>
          <w:rFonts w:eastAsia="Times New Roman" w:cstheme="minorHAnsi"/>
          <w:sz w:val="24"/>
          <w:szCs w:val="24"/>
        </w:rPr>
        <w:t xml:space="preserve">. </w:t>
      </w:r>
      <w:r w:rsidR="008D0FC1" w:rsidRPr="00197AFB">
        <w:rPr>
          <w:rFonts w:cstheme="minorHAnsi"/>
          <w:color w:val="222222"/>
          <w:sz w:val="24"/>
          <w:szCs w:val="24"/>
          <w:u w:val="single"/>
          <w:shd w:val="clear" w:color="auto" w:fill="FFFFFF"/>
        </w:rPr>
        <w:t>See, e.g.</w:t>
      </w:r>
      <w:r w:rsidR="008D0FC1" w:rsidRPr="00197AFB">
        <w:rPr>
          <w:rFonts w:cstheme="minorHAnsi"/>
          <w:color w:val="222222"/>
          <w:sz w:val="24"/>
          <w:szCs w:val="24"/>
          <w:shd w:val="clear" w:color="auto" w:fill="FFFFFF"/>
        </w:rPr>
        <w:t xml:space="preserve">, </w:t>
      </w:r>
      <w:r w:rsidR="008D0FC1" w:rsidRPr="00197AFB">
        <w:rPr>
          <w:rFonts w:cstheme="minorHAnsi"/>
          <w:color w:val="222222"/>
          <w:sz w:val="24"/>
          <w:szCs w:val="24"/>
          <w:u w:val="single"/>
          <w:shd w:val="clear" w:color="auto" w:fill="FFFFFF"/>
        </w:rPr>
        <w:t>Ricketts v. Simonse</w:t>
      </w:r>
      <w:r w:rsidR="008D0FC1" w:rsidRPr="00197AFB">
        <w:rPr>
          <w:rFonts w:cstheme="minorHAnsi"/>
          <w:color w:val="222222"/>
          <w:sz w:val="24"/>
          <w:szCs w:val="24"/>
          <w:shd w:val="clear" w:color="auto" w:fill="FFFFFF"/>
        </w:rPr>
        <w:t xml:space="preserve">, 2016 WL 7335675 (S.D.N.Y. Dec. 16, 2016); </w:t>
      </w:r>
      <w:r w:rsidR="008D0FC1" w:rsidRPr="00197AFB">
        <w:rPr>
          <w:rFonts w:cstheme="minorHAnsi"/>
          <w:color w:val="222222"/>
          <w:sz w:val="24"/>
          <w:szCs w:val="24"/>
          <w:u w:val="single"/>
          <w:shd w:val="clear" w:color="auto" w:fill="FFFFFF"/>
        </w:rPr>
        <w:t>Saleem v. Shanahan</w:t>
      </w:r>
      <w:r w:rsidR="008D0FC1" w:rsidRPr="00197AFB">
        <w:rPr>
          <w:rFonts w:cstheme="minorHAnsi"/>
          <w:color w:val="222222"/>
          <w:sz w:val="24"/>
          <w:szCs w:val="24"/>
          <w:shd w:val="clear" w:color="auto" w:fill="FFFFFF"/>
        </w:rPr>
        <w:t xml:space="preserve">, 2016 WL 4435246 (S.D.N.Y. Aug. 22, 2016); </w:t>
      </w:r>
      <w:r w:rsidR="008D0FC1" w:rsidRPr="00197AFB">
        <w:rPr>
          <w:rFonts w:cstheme="minorHAnsi"/>
          <w:color w:val="222222"/>
          <w:sz w:val="24"/>
          <w:szCs w:val="24"/>
          <w:u w:val="single"/>
          <w:shd w:val="clear" w:color="auto" w:fill="FFFFFF"/>
        </w:rPr>
        <w:t>Arias v. Aviles</w:t>
      </w:r>
      <w:r w:rsidR="008D0FC1" w:rsidRPr="00197AFB">
        <w:rPr>
          <w:rFonts w:cstheme="minorHAnsi"/>
          <w:color w:val="222222"/>
          <w:sz w:val="24"/>
          <w:szCs w:val="24"/>
          <w:shd w:val="clear" w:color="auto" w:fill="FFFFFF"/>
        </w:rPr>
        <w:t>, 2016 WL 3906738 (S.D.N.Y. July 14, 2016)</w:t>
      </w:r>
      <w:r w:rsidR="008D0FC1">
        <w:rPr>
          <w:rFonts w:cstheme="minorHAnsi"/>
          <w:color w:val="222222"/>
          <w:sz w:val="24"/>
          <w:szCs w:val="24"/>
          <w:shd w:val="clear" w:color="auto" w:fill="FFFFFF"/>
        </w:rPr>
        <w:t xml:space="preserve">. </w:t>
      </w:r>
      <w:r w:rsidR="008D0FC1" w:rsidRPr="00197AFB">
        <w:rPr>
          <w:rFonts w:cstheme="minorHAnsi"/>
          <w:color w:val="222222"/>
          <w:sz w:val="24"/>
          <w:szCs w:val="24"/>
          <w:shd w:val="clear" w:color="auto" w:fill="FFFFFF"/>
        </w:rPr>
        <w:t xml:space="preserve">They are joined by district courts </w:t>
      </w:r>
      <w:r w:rsidR="008D0FC1">
        <w:rPr>
          <w:rFonts w:cstheme="minorHAnsi"/>
          <w:color w:val="222222"/>
          <w:sz w:val="24"/>
          <w:szCs w:val="24"/>
          <w:shd w:val="clear" w:color="auto" w:fill="FFFFFF"/>
        </w:rPr>
        <w:t>in other circuits</w:t>
      </w:r>
      <w:r w:rsidR="008D0FC1" w:rsidRPr="00197AFB">
        <w:rPr>
          <w:rFonts w:cstheme="minorHAnsi"/>
          <w:color w:val="222222"/>
          <w:sz w:val="24"/>
          <w:szCs w:val="24"/>
          <w:shd w:val="clear" w:color="auto" w:fill="FFFFFF"/>
        </w:rPr>
        <w:t xml:space="preserve">. </w:t>
      </w:r>
      <w:r w:rsidR="008D0FC1" w:rsidRPr="008D0FC1">
        <w:rPr>
          <w:rFonts w:cstheme="minorHAnsi"/>
          <w:color w:val="222222"/>
          <w:sz w:val="24"/>
          <w:szCs w:val="24"/>
          <w:u w:val="single"/>
          <w:shd w:val="clear" w:color="auto" w:fill="FFFFFF"/>
        </w:rPr>
        <w:t>See</w:t>
      </w:r>
      <w:r w:rsidR="008D0FC1">
        <w:rPr>
          <w:rFonts w:cstheme="minorHAnsi"/>
          <w:color w:val="222222"/>
          <w:sz w:val="24"/>
          <w:szCs w:val="24"/>
          <w:u w:val="single"/>
          <w:shd w:val="clear" w:color="auto" w:fill="FFFFFF"/>
        </w:rPr>
        <w:t>, e.g.</w:t>
      </w:r>
      <w:r w:rsidR="008D0FC1">
        <w:rPr>
          <w:rFonts w:cstheme="minorHAnsi"/>
          <w:color w:val="222222"/>
          <w:sz w:val="24"/>
          <w:szCs w:val="24"/>
          <w:shd w:val="clear" w:color="auto" w:fill="FFFFFF"/>
        </w:rPr>
        <w:t xml:space="preserve">, </w:t>
      </w:r>
      <w:r w:rsidRPr="008D0FC1">
        <w:rPr>
          <w:rFonts w:cstheme="minorHAnsi"/>
          <w:color w:val="222222"/>
          <w:sz w:val="24"/>
          <w:szCs w:val="24"/>
          <w:u w:val="single"/>
          <w:shd w:val="clear" w:color="auto" w:fill="FFFFFF"/>
        </w:rPr>
        <w:t>Ahad</w:t>
      </w:r>
      <w:r w:rsidRPr="00197AFB">
        <w:rPr>
          <w:rFonts w:cstheme="minorHAnsi"/>
          <w:color w:val="222222"/>
          <w:sz w:val="24"/>
          <w:szCs w:val="24"/>
          <w:u w:val="single"/>
          <w:shd w:val="clear" w:color="auto" w:fill="FFFFFF"/>
        </w:rPr>
        <w:t xml:space="preserve"> v. Lowe</w:t>
      </w:r>
      <w:r w:rsidRPr="00197AFB">
        <w:rPr>
          <w:rFonts w:cstheme="minorHAnsi"/>
          <w:color w:val="222222"/>
          <w:sz w:val="24"/>
          <w:szCs w:val="24"/>
          <w:shd w:val="clear" w:color="auto" w:fill="FFFFFF"/>
        </w:rPr>
        <w:t xml:space="preserve">, 2017 WL 66829 (M.D. Pa. Jan. 6, 2017); </w:t>
      </w:r>
      <w:r w:rsidRPr="00197AFB">
        <w:rPr>
          <w:rFonts w:eastAsia="Times New Roman" w:cstheme="minorHAnsi"/>
          <w:sz w:val="24"/>
          <w:szCs w:val="24"/>
          <w:u w:val="single"/>
        </w:rPr>
        <w:t>Gregorio-Chacon v. Lynch</w:t>
      </w:r>
      <w:r w:rsidRPr="00197AFB">
        <w:rPr>
          <w:rFonts w:eastAsia="Times New Roman" w:cstheme="minorHAnsi"/>
          <w:sz w:val="24"/>
          <w:szCs w:val="24"/>
        </w:rPr>
        <w:t xml:space="preserve">, 2016 WL 6208264 (D.N.J. Oct. 24, 2016); </w:t>
      </w:r>
      <w:r w:rsidRPr="00197AFB">
        <w:rPr>
          <w:rFonts w:cstheme="minorHAnsi"/>
          <w:color w:val="222222"/>
          <w:sz w:val="24"/>
          <w:szCs w:val="24"/>
          <w:u w:val="single"/>
          <w:shd w:val="clear" w:color="auto" w:fill="FFFFFF"/>
        </w:rPr>
        <w:t>Damus v. Tsoukaris</w:t>
      </w:r>
      <w:r w:rsidRPr="00197AFB">
        <w:rPr>
          <w:rFonts w:cstheme="minorHAnsi"/>
          <w:color w:val="222222"/>
          <w:sz w:val="24"/>
          <w:szCs w:val="24"/>
          <w:shd w:val="clear" w:color="auto" w:fill="FFFFFF"/>
        </w:rPr>
        <w:t xml:space="preserve">, 2016 WL 4203816 (D.N.J. Aug. 8, 2016); </w:t>
      </w:r>
      <w:r w:rsidRPr="00197AFB">
        <w:rPr>
          <w:iCs/>
          <w:color w:val="222222"/>
          <w:sz w:val="24"/>
          <w:szCs w:val="24"/>
          <w:u w:val="single"/>
          <w:shd w:val="clear" w:color="auto" w:fill="FFFFFF"/>
        </w:rPr>
        <w:t>Bautista v. Sabol</w:t>
      </w:r>
      <w:r w:rsidRPr="00197AFB">
        <w:rPr>
          <w:color w:val="222222"/>
          <w:sz w:val="24"/>
          <w:szCs w:val="24"/>
          <w:shd w:val="clear" w:color="auto" w:fill="FFFFFF"/>
        </w:rPr>
        <w:t>, 862 F. Supp. 2d 375, 377 (M.D. Pa. 2012)</w:t>
      </w:r>
      <w:r w:rsidR="008D0FC1">
        <w:rPr>
          <w:rFonts w:cstheme="minorHAnsi"/>
          <w:color w:val="222222"/>
          <w:sz w:val="24"/>
          <w:szCs w:val="24"/>
          <w:shd w:val="clear" w:color="auto" w:fill="FFFFFF"/>
        </w:rPr>
        <w:t xml:space="preserve">; </w:t>
      </w:r>
      <w:r w:rsidRPr="00197AFB">
        <w:rPr>
          <w:rFonts w:cstheme="minorHAnsi"/>
          <w:color w:val="222222"/>
          <w:sz w:val="24"/>
          <w:szCs w:val="24"/>
          <w:u w:val="single"/>
          <w:shd w:val="clear" w:color="auto" w:fill="FFFFFF"/>
        </w:rPr>
        <w:t>Maldonado v. Macias</w:t>
      </w:r>
      <w:r w:rsidRPr="00197AFB">
        <w:rPr>
          <w:rFonts w:cstheme="minorHAnsi"/>
          <w:color w:val="222222"/>
          <w:sz w:val="24"/>
          <w:szCs w:val="24"/>
          <w:shd w:val="clear" w:color="auto" w:fill="FFFFFF"/>
        </w:rPr>
        <w:t>, 150 F.Supp.3d 788 (W.D. Tex. 2015).</w:t>
      </w:r>
    </w:p>
    <w:p w14:paraId="2387C728" w14:textId="77777777" w:rsidR="002C34A4" w:rsidRPr="00BD3887" w:rsidRDefault="002C34A4" w:rsidP="002C34A4">
      <w:pPr>
        <w:pStyle w:val="ListParagraph"/>
        <w:numPr>
          <w:ilvl w:val="0"/>
          <w:numId w:val="32"/>
        </w:numPr>
        <w:spacing w:line="480" w:lineRule="auto"/>
        <w:ind w:left="0" w:firstLine="0"/>
        <w:rPr>
          <w:rFonts w:cstheme="minorHAnsi"/>
          <w:color w:val="222222"/>
          <w:sz w:val="24"/>
          <w:szCs w:val="24"/>
          <w:shd w:val="clear" w:color="auto" w:fill="FFFFFF"/>
        </w:rPr>
      </w:pPr>
      <w:r w:rsidRPr="00BD3887">
        <w:rPr>
          <w:rFonts w:cstheme="minorHAnsi"/>
          <w:color w:val="222222"/>
          <w:sz w:val="24"/>
          <w:szCs w:val="24"/>
          <w:shd w:val="clear" w:color="auto" w:fill="FFFFFF"/>
        </w:rPr>
        <w:lastRenderedPageBreak/>
        <w:t xml:space="preserve">The ability to apply for </w:t>
      </w:r>
      <w:r w:rsidRPr="00BD3887">
        <w:rPr>
          <w:sz w:val="24"/>
          <w:szCs w:val="24"/>
        </w:rPr>
        <w:t xml:space="preserve">humanitarian parole under 8 U.S.C. 1182(d)(5)(A) </w:t>
      </w:r>
      <w:r w:rsidRPr="00BD3887">
        <w:rPr>
          <w:rFonts w:eastAsia="Times New Roman" w:cs="Times New Roman"/>
          <w:sz w:val="24"/>
          <w:szCs w:val="24"/>
        </w:rPr>
        <w:t xml:space="preserve">does not provide due process for noncitizens detained </w:t>
      </w:r>
      <w:r w:rsidRPr="00BD3887">
        <w:rPr>
          <w:sz w:val="24"/>
          <w:szCs w:val="24"/>
        </w:rPr>
        <w:t xml:space="preserve">under </w:t>
      </w:r>
      <w:r w:rsidRPr="00BD3887">
        <w:rPr>
          <w:rFonts w:eastAsia="Times New Roman" w:cs="Times New Roman"/>
          <w:sz w:val="24"/>
          <w:szCs w:val="24"/>
        </w:rPr>
        <w:t xml:space="preserve">§ 1225(b). </w:t>
      </w:r>
      <w:r>
        <w:rPr>
          <w:rFonts w:eastAsia="Times New Roman" w:cs="Times New Roman"/>
          <w:sz w:val="24"/>
          <w:szCs w:val="24"/>
        </w:rPr>
        <w:t>P</w:t>
      </w:r>
      <w:r w:rsidRPr="00BD3887">
        <w:rPr>
          <w:rFonts w:eastAsia="Times New Roman" w:cs="Times New Roman"/>
          <w:sz w:val="24"/>
          <w:szCs w:val="24"/>
        </w:rPr>
        <w:t xml:space="preserve">arole does not provide a neutral forum to contest the necessity of ongoing detention. Instead it is a purely discretionary process, administered by the jailer. Neither the detained noncitizen nor counsel are provided an in-person hearing to contest facts leading to the parole decision. And no review of that decision is available. </w:t>
      </w:r>
      <w:r w:rsidRPr="00BD3887">
        <w:rPr>
          <w:rFonts w:eastAsia="Times New Roman" w:cs="Times New Roman"/>
          <w:sz w:val="24"/>
          <w:szCs w:val="24"/>
          <w:u w:val="single"/>
        </w:rPr>
        <w:t>See</w:t>
      </w:r>
      <w:r w:rsidRPr="00BD3887">
        <w:rPr>
          <w:rFonts w:eastAsia="Times New Roman" w:cs="Times New Roman"/>
          <w:sz w:val="24"/>
          <w:szCs w:val="24"/>
        </w:rPr>
        <w:t xml:space="preserve"> </w:t>
      </w:r>
      <w:r w:rsidRPr="00BD3887">
        <w:rPr>
          <w:rFonts w:ascii="Times New Roman" w:eastAsia="Times New Roman" w:hAnsi="Times New Roman" w:cs="Times New Roman"/>
          <w:sz w:val="24"/>
          <w:szCs w:val="24"/>
          <w:u w:val="single"/>
        </w:rPr>
        <w:t>Rodriguez v. Robbins</w:t>
      </w:r>
      <w:r w:rsidRPr="00BD3887">
        <w:rPr>
          <w:rFonts w:ascii="Times New Roman" w:eastAsia="Times New Roman" w:hAnsi="Times New Roman" w:cs="Times New Roman"/>
          <w:sz w:val="24"/>
          <w:szCs w:val="24"/>
        </w:rPr>
        <w:t xml:space="preserve">, 715 F.3d 1127, 1144 (9th Cir. 2013) (describing parole process). </w:t>
      </w:r>
    </w:p>
    <w:p w14:paraId="2AF013C9" w14:textId="77777777" w:rsidR="002C34A4" w:rsidRPr="00BD3887" w:rsidRDefault="002C34A4" w:rsidP="002C34A4">
      <w:pPr>
        <w:pStyle w:val="ListParagraph"/>
        <w:numPr>
          <w:ilvl w:val="0"/>
          <w:numId w:val="32"/>
        </w:numPr>
        <w:spacing w:line="480" w:lineRule="auto"/>
        <w:ind w:left="0" w:firstLine="0"/>
        <w:rPr>
          <w:rFonts w:cstheme="minorHAnsi"/>
          <w:color w:val="222222"/>
          <w:sz w:val="24"/>
          <w:szCs w:val="24"/>
          <w:shd w:val="clear" w:color="auto" w:fill="FFFFFF"/>
        </w:rPr>
      </w:pPr>
      <w:r w:rsidRPr="0049298D">
        <w:rPr>
          <w:rFonts w:cstheme="minorHAnsi"/>
          <w:color w:val="222222"/>
          <w:sz w:val="24"/>
          <w:szCs w:val="24"/>
          <w:shd w:val="clear" w:color="auto" w:fill="FFFFFF"/>
        </w:rPr>
        <w:t>Moreo</w:t>
      </w:r>
      <w:r>
        <w:rPr>
          <w:rFonts w:cstheme="minorHAnsi"/>
          <w:color w:val="222222"/>
          <w:sz w:val="24"/>
          <w:szCs w:val="24"/>
          <w:shd w:val="clear" w:color="auto" w:fill="FFFFFF"/>
        </w:rPr>
        <w:t>v</w:t>
      </w:r>
      <w:r w:rsidRPr="0049298D">
        <w:rPr>
          <w:rFonts w:cstheme="minorHAnsi"/>
          <w:color w:val="222222"/>
          <w:sz w:val="24"/>
          <w:szCs w:val="24"/>
          <w:shd w:val="clear" w:color="auto" w:fill="FFFFFF"/>
        </w:rPr>
        <w:t>er, release on parole is only available for “urgent humanitarian reasons or significant public benefit,” 8 U.S.C. § 1182(d)(5)(A); </w:t>
      </w:r>
      <w:r w:rsidRPr="0049298D">
        <w:rPr>
          <w:rFonts w:cstheme="minorHAnsi"/>
          <w:iCs/>
          <w:color w:val="222222"/>
          <w:sz w:val="24"/>
          <w:szCs w:val="24"/>
          <w:u w:val="single"/>
          <w:shd w:val="clear" w:color="auto" w:fill="FFFFFF"/>
        </w:rPr>
        <w:t>see also</w:t>
      </w:r>
      <w:r w:rsidRPr="0049298D">
        <w:rPr>
          <w:rFonts w:cstheme="minorHAnsi"/>
          <w:color w:val="222222"/>
          <w:sz w:val="24"/>
          <w:szCs w:val="24"/>
          <w:shd w:val="clear" w:color="auto" w:fill="FFFFFF"/>
        </w:rPr>
        <w:t xml:space="preserve"> 8 C.F.R. § 212.5(b). Neither of those criteria evaluate the constitutionally permissible rationales for </w:t>
      </w:r>
      <w:r>
        <w:rPr>
          <w:rFonts w:cstheme="minorHAnsi"/>
          <w:color w:val="222222"/>
          <w:sz w:val="24"/>
          <w:szCs w:val="24"/>
          <w:shd w:val="clear" w:color="auto" w:fill="FFFFFF"/>
        </w:rPr>
        <w:t xml:space="preserve">continued, prolonged </w:t>
      </w:r>
      <w:r w:rsidRPr="0049298D">
        <w:rPr>
          <w:rFonts w:cstheme="minorHAnsi"/>
          <w:color w:val="222222"/>
          <w:sz w:val="24"/>
          <w:szCs w:val="24"/>
          <w:shd w:val="clear" w:color="auto" w:fill="FFFFFF"/>
        </w:rPr>
        <w:t>detention during removal proceedings</w:t>
      </w:r>
      <w:r>
        <w:rPr>
          <w:rFonts w:cstheme="minorHAnsi"/>
          <w:color w:val="222222"/>
          <w:sz w:val="24"/>
          <w:szCs w:val="24"/>
          <w:shd w:val="clear" w:color="auto" w:fill="FFFFFF"/>
        </w:rPr>
        <w:t>:</w:t>
      </w:r>
      <w:r w:rsidRPr="0049298D">
        <w:rPr>
          <w:rFonts w:cstheme="minorHAnsi"/>
          <w:color w:val="222222"/>
          <w:sz w:val="24"/>
          <w:szCs w:val="24"/>
          <w:shd w:val="clear" w:color="auto" w:fill="FFFFFF"/>
        </w:rPr>
        <w:t xml:space="preserve"> whether the detained noncitizen is a flight risk or danger to her community</w:t>
      </w:r>
      <w:r>
        <w:rPr>
          <w:rFonts w:cstheme="minorHAnsi"/>
          <w:color w:val="222222"/>
          <w:sz w:val="24"/>
          <w:szCs w:val="24"/>
          <w:shd w:val="clear" w:color="auto" w:fill="FFFFFF"/>
        </w:rPr>
        <w:t>.</w:t>
      </w:r>
      <w:r w:rsidRPr="0049298D">
        <w:rPr>
          <w:rFonts w:cstheme="minorHAnsi"/>
          <w:color w:val="222222"/>
          <w:sz w:val="24"/>
          <w:szCs w:val="24"/>
          <w:shd w:val="clear" w:color="auto" w:fill="FFFFFF"/>
        </w:rPr>
        <w:t xml:space="preserve"> </w:t>
      </w:r>
      <w:r w:rsidRPr="0049298D">
        <w:rPr>
          <w:rFonts w:cstheme="minorHAnsi"/>
          <w:color w:val="222222"/>
          <w:sz w:val="24"/>
          <w:szCs w:val="24"/>
          <w:u w:val="single"/>
          <w:shd w:val="clear" w:color="auto" w:fill="FFFFFF"/>
        </w:rPr>
        <w:t>See</w:t>
      </w:r>
      <w:r w:rsidRPr="0049298D">
        <w:rPr>
          <w:rFonts w:cstheme="minorHAnsi"/>
          <w:color w:val="222222"/>
          <w:sz w:val="24"/>
          <w:szCs w:val="24"/>
          <w:shd w:val="clear" w:color="auto" w:fill="FFFFFF"/>
        </w:rPr>
        <w:t xml:space="preserve"> </w:t>
      </w:r>
      <w:r w:rsidRPr="0049298D">
        <w:rPr>
          <w:rFonts w:ascii="Times New Roman" w:eastAsia="Times New Roman" w:hAnsi="Times New Roman" w:cs="Times New Roman"/>
          <w:sz w:val="24"/>
          <w:szCs w:val="24"/>
          <w:u w:val="single"/>
        </w:rPr>
        <w:t>R.I.L-R v. Johnson</w:t>
      </w:r>
      <w:r w:rsidRPr="0049298D">
        <w:rPr>
          <w:rFonts w:ascii="Times New Roman" w:eastAsia="Times New Roman" w:hAnsi="Times New Roman" w:cs="Times New Roman"/>
          <w:sz w:val="24"/>
          <w:szCs w:val="24"/>
        </w:rPr>
        <w:t xml:space="preserve">, 80 F. Supp. 3d 164, 188 (D.D.C. 2015) (“The </w:t>
      </w:r>
      <w:r w:rsidRPr="0049298D">
        <w:rPr>
          <w:rFonts w:ascii="Times New Roman" w:eastAsia="Times New Roman" w:hAnsi="Times New Roman" w:cs="Times New Roman"/>
          <w:iCs/>
          <w:sz w:val="24"/>
          <w:szCs w:val="24"/>
          <w:u w:val="single"/>
        </w:rPr>
        <w:t>Zadvydas</w:t>
      </w:r>
      <w:r w:rsidRPr="0049298D">
        <w:rPr>
          <w:rFonts w:ascii="Times New Roman" w:eastAsia="Times New Roman" w:hAnsi="Times New Roman" w:cs="Times New Roman"/>
          <w:sz w:val="24"/>
          <w:szCs w:val="24"/>
        </w:rPr>
        <w:t xml:space="preserve"> Court clearly identified a pair of interests that can, under certain circumstances, suffice to justify the detention of noncitizens awaiting immigration proceedings: ‘preventing flight’ and ‘protecting the community’ from aliens found to be ‘specially dangerous.’”) (citing </w:t>
      </w:r>
      <w:r w:rsidRPr="0049298D">
        <w:rPr>
          <w:rFonts w:ascii="Times New Roman" w:eastAsia="Times New Roman" w:hAnsi="Times New Roman" w:cs="Times New Roman"/>
          <w:sz w:val="24"/>
          <w:szCs w:val="24"/>
          <w:u w:val="single"/>
        </w:rPr>
        <w:t>Zadvydas v. Davis</w:t>
      </w:r>
      <w:r w:rsidRPr="0049298D">
        <w:rPr>
          <w:rFonts w:ascii="Times New Roman" w:eastAsia="Times New Roman" w:hAnsi="Times New Roman" w:cs="Times New Roman"/>
          <w:sz w:val="24"/>
          <w:szCs w:val="24"/>
        </w:rPr>
        <w:t>, 533 U.S. at 690–92)</w:t>
      </w:r>
      <w:r>
        <w:rPr>
          <w:rFonts w:ascii="Times New Roman" w:eastAsia="Times New Roman" w:hAnsi="Times New Roman" w:cs="Times New Roman"/>
          <w:sz w:val="24"/>
          <w:szCs w:val="24"/>
        </w:rPr>
        <w:t>)</w:t>
      </w:r>
      <w:r w:rsidRPr="0049298D">
        <w:rPr>
          <w:rFonts w:ascii="Times New Roman" w:eastAsia="Times New Roman" w:hAnsi="Times New Roman" w:cs="Times New Roman"/>
          <w:sz w:val="24"/>
          <w:szCs w:val="24"/>
        </w:rPr>
        <w:t>.</w:t>
      </w:r>
    </w:p>
    <w:p w14:paraId="5733E015" w14:textId="77777777" w:rsidR="002C34A4" w:rsidRPr="00A53F69" w:rsidRDefault="002C34A4" w:rsidP="002C34A4">
      <w:pPr>
        <w:pStyle w:val="ListParagraph"/>
        <w:numPr>
          <w:ilvl w:val="0"/>
          <w:numId w:val="32"/>
        </w:numPr>
        <w:spacing w:line="480" w:lineRule="auto"/>
        <w:ind w:left="0" w:firstLine="0"/>
        <w:rPr>
          <w:rFonts w:cstheme="minorHAnsi"/>
          <w:color w:val="222222"/>
          <w:sz w:val="24"/>
          <w:szCs w:val="24"/>
          <w:shd w:val="clear" w:color="auto" w:fill="FFFFFF"/>
        </w:rPr>
      </w:pPr>
      <w:r>
        <w:rPr>
          <w:rFonts w:eastAsia="Times New Roman" w:cs="Times New Roman"/>
          <w:sz w:val="24"/>
          <w:szCs w:val="24"/>
        </w:rPr>
        <w:t>Finally, p</w:t>
      </w:r>
      <w:r>
        <w:rPr>
          <w:rFonts w:ascii="Times New Roman" w:eastAsia="Times New Roman" w:hAnsi="Times New Roman" w:cs="Times New Roman"/>
          <w:sz w:val="24"/>
          <w:szCs w:val="24"/>
        </w:rPr>
        <w:t xml:space="preserve">arole was also available to inadmissible noncitizens who challenged prolonged detention under </w:t>
      </w:r>
      <w:r w:rsidRPr="00197AFB">
        <w:rPr>
          <w:rFonts w:eastAsia="Times New Roman" w:cs="Times New Roman"/>
          <w:sz w:val="24"/>
          <w:szCs w:val="24"/>
        </w:rPr>
        <w:t>§ 1226(c)</w:t>
      </w:r>
      <w:r>
        <w:rPr>
          <w:rFonts w:eastAsia="Times New Roman" w:cs="Times New Roman"/>
          <w:sz w:val="24"/>
          <w:szCs w:val="24"/>
        </w:rPr>
        <w:t xml:space="preserve">. Yet every Court of Appeals to consider </w:t>
      </w:r>
      <w:r w:rsidRPr="00197AFB">
        <w:rPr>
          <w:rFonts w:eastAsia="Times New Roman" w:cs="Times New Roman"/>
          <w:sz w:val="24"/>
          <w:szCs w:val="24"/>
        </w:rPr>
        <w:t>§ 1226(c)</w:t>
      </w:r>
      <w:r>
        <w:rPr>
          <w:rFonts w:eastAsia="Times New Roman" w:cs="Times New Roman"/>
          <w:sz w:val="24"/>
          <w:szCs w:val="24"/>
        </w:rPr>
        <w:t xml:space="preserve"> has nonetheless ruled it limited to a reasonable period by the Due Process Clause.</w:t>
      </w:r>
      <w:r>
        <w:rPr>
          <w:rFonts w:cstheme="minorHAnsi"/>
          <w:color w:val="222222"/>
          <w:sz w:val="24"/>
          <w:szCs w:val="24"/>
          <w:shd w:val="clear" w:color="auto" w:fill="FFFFFF"/>
        </w:rPr>
        <w:t xml:space="preserve"> </w:t>
      </w:r>
      <w:r w:rsidRPr="00BD3887">
        <w:rPr>
          <w:rFonts w:ascii="Times New Roman" w:eastAsia="Times New Roman" w:hAnsi="Times New Roman" w:cs="Times New Roman"/>
          <w:sz w:val="24"/>
          <w:szCs w:val="24"/>
        </w:rPr>
        <w:t xml:space="preserve">The ability to apply for parole is therefore an inadequate </w:t>
      </w:r>
      <w:r>
        <w:rPr>
          <w:rFonts w:ascii="Times New Roman" w:eastAsia="Times New Roman" w:hAnsi="Times New Roman" w:cs="Times New Roman"/>
          <w:sz w:val="24"/>
          <w:szCs w:val="24"/>
        </w:rPr>
        <w:t>substitute</w:t>
      </w:r>
      <w:r w:rsidRPr="00BD3887">
        <w:rPr>
          <w:rFonts w:ascii="Times New Roman" w:eastAsia="Times New Roman" w:hAnsi="Times New Roman" w:cs="Times New Roman"/>
          <w:sz w:val="24"/>
          <w:szCs w:val="24"/>
        </w:rPr>
        <w:t xml:space="preserve"> for due process.</w:t>
      </w:r>
      <w:r w:rsidRPr="0049298D">
        <w:rPr>
          <w:rFonts w:ascii="Times New Roman" w:eastAsia="Times New Roman" w:hAnsi="Times New Roman" w:cs="Times New Roman"/>
          <w:sz w:val="24"/>
          <w:szCs w:val="24"/>
        </w:rPr>
        <w:t xml:space="preserve"> </w:t>
      </w:r>
    </w:p>
    <w:p w14:paraId="7C286C34" w14:textId="612F3B52" w:rsidR="002C34A4" w:rsidRPr="007D604A" w:rsidRDefault="002C34A4" w:rsidP="002C34A4">
      <w:pPr>
        <w:pStyle w:val="ListParagraph"/>
        <w:numPr>
          <w:ilvl w:val="0"/>
          <w:numId w:val="32"/>
        </w:numPr>
        <w:spacing w:line="480" w:lineRule="auto"/>
        <w:ind w:left="0" w:firstLine="0"/>
        <w:rPr>
          <w:rFonts w:cstheme="minorHAnsi"/>
          <w:color w:val="222222"/>
          <w:sz w:val="24"/>
          <w:szCs w:val="24"/>
          <w:shd w:val="clear" w:color="auto" w:fill="FFFFFF"/>
        </w:rPr>
      </w:pPr>
      <w:r>
        <w:rPr>
          <w:rFonts w:eastAsia="Times New Roman" w:cstheme="minorHAnsi"/>
          <w:sz w:val="24"/>
          <w:szCs w:val="24"/>
        </w:rPr>
        <w:t>Petitioner</w:t>
      </w:r>
      <w:r w:rsidRPr="007D604A">
        <w:rPr>
          <w:rFonts w:eastAsia="Times New Roman" w:cstheme="minorHAnsi"/>
          <w:sz w:val="24"/>
          <w:szCs w:val="24"/>
        </w:rPr>
        <w:t xml:space="preserve">’s prolonged, indefinite detention under </w:t>
      </w:r>
      <w:r w:rsidRPr="007D604A">
        <w:rPr>
          <w:rFonts w:eastAsia="Times New Roman" w:cs="Times New Roman"/>
          <w:sz w:val="24"/>
          <w:szCs w:val="24"/>
        </w:rPr>
        <w:t xml:space="preserve">§ </w:t>
      </w:r>
      <w:r w:rsidRPr="007D604A">
        <w:rPr>
          <w:rFonts w:eastAsia="Times New Roman" w:cstheme="minorHAnsi"/>
          <w:sz w:val="24"/>
          <w:szCs w:val="24"/>
        </w:rPr>
        <w:t>1225(b) violates the Fifth Amendment by depriving him of liberty without due process of law. This Court should therefore order</w:t>
      </w:r>
      <w:r w:rsidRPr="007D604A">
        <w:rPr>
          <w:sz w:val="24"/>
          <w:szCs w:val="24"/>
        </w:rPr>
        <w:t xml:space="preserve"> his release, with appropriate conditions of supervision if necessary. </w:t>
      </w:r>
      <w:r w:rsidRPr="007D604A">
        <w:rPr>
          <w:sz w:val="24"/>
          <w:szCs w:val="24"/>
          <w:u w:val="single"/>
        </w:rPr>
        <w:t>See, e.g.</w:t>
      </w:r>
      <w:r w:rsidRPr="007D604A">
        <w:rPr>
          <w:sz w:val="24"/>
          <w:szCs w:val="24"/>
        </w:rPr>
        <w:t xml:space="preserve">, </w:t>
      </w:r>
      <w:r w:rsidR="008D0FC1" w:rsidRPr="00B3113B">
        <w:rPr>
          <w:rFonts w:ascii="Times New Roman" w:hAnsi="Times New Roman" w:cs="Times New Roman"/>
          <w:sz w:val="24"/>
          <w:szCs w:val="24"/>
          <w:u w:val="single"/>
        </w:rPr>
        <w:t xml:space="preserve">Nadarajah v. </w:t>
      </w:r>
      <w:r w:rsidR="008D0FC1" w:rsidRPr="00B3113B">
        <w:rPr>
          <w:rFonts w:ascii="Times New Roman" w:hAnsi="Times New Roman" w:cs="Times New Roman"/>
          <w:sz w:val="24"/>
          <w:szCs w:val="24"/>
          <w:u w:val="single"/>
        </w:rPr>
        <w:lastRenderedPageBreak/>
        <w:t>Gonzales</w:t>
      </w:r>
      <w:r w:rsidR="008D0FC1" w:rsidRPr="00B3113B">
        <w:rPr>
          <w:rFonts w:ascii="Times New Roman" w:hAnsi="Times New Roman" w:cs="Times New Roman"/>
          <w:sz w:val="24"/>
          <w:szCs w:val="24"/>
        </w:rPr>
        <w:t>, 443 F.3d 1069, 1084 (9th Cir. 2006)</w:t>
      </w:r>
      <w:r w:rsidR="008D0FC1">
        <w:rPr>
          <w:rFonts w:ascii="Times New Roman" w:hAnsi="Times New Roman" w:cs="Times New Roman"/>
          <w:sz w:val="24"/>
          <w:szCs w:val="24"/>
        </w:rPr>
        <w:t xml:space="preserve">; </w:t>
      </w:r>
      <w:r w:rsidRPr="007D604A">
        <w:rPr>
          <w:sz w:val="24"/>
          <w:szCs w:val="24"/>
          <w:u w:val="single"/>
        </w:rPr>
        <w:t>Madrane v. Hogan</w:t>
      </w:r>
      <w:r w:rsidRPr="007D604A">
        <w:rPr>
          <w:sz w:val="24"/>
          <w:szCs w:val="24"/>
        </w:rPr>
        <w:t>, 520 F.Supp.2d 654 (M.D. Pa. 2007); </w:t>
      </w:r>
      <w:r w:rsidRPr="007D604A">
        <w:rPr>
          <w:sz w:val="24"/>
          <w:szCs w:val="24"/>
          <w:u w:val="single"/>
        </w:rPr>
        <w:t>Victor v. Mukasey</w:t>
      </w:r>
      <w:r w:rsidRPr="007D604A">
        <w:rPr>
          <w:sz w:val="24"/>
          <w:szCs w:val="24"/>
        </w:rPr>
        <w:t>, 2008 WL 5061810 (M.D. Pa. Nov. 25, 2008); </w:t>
      </w:r>
      <w:r w:rsidRPr="007D604A">
        <w:rPr>
          <w:sz w:val="24"/>
          <w:szCs w:val="24"/>
          <w:u w:val="single"/>
        </w:rPr>
        <w:t>Nunez–Pimentel v. U.S. Dep’t of Homeland Security</w:t>
      </w:r>
      <w:r w:rsidRPr="007D604A">
        <w:rPr>
          <w:sz w:val="24"/>
          <w:szCs w:val="24"/>
        </w:rPr>
        <w:t>, 2008 WL 2593806 (M.D. Pa. June 27, 2008) (ordering release from prolonged detention pending removal proceedings).</w:t>
      </w:r>
    </w:p>
    <w:p w14:paraId="35CBFA48" w14:textId="77777777" w:rsidR="002C34A4" w:rsidRPr="00197AFB" w:rsidRDefault="002C34A4" w:rsidP="002C34A4">
      <w:pPr>
        <w:spacing w:line="240" w:lineRule="auto"/>
        <w:contextualSpacing/>
        <w:jc w:val="center"/>
        <w:rPr>
          <w:b/>
          <w:sz w:val="24"/>
          <w:szCs w:val="24"/>
        </w:rPr>
      </w:pPr>
      <w:r w:rsidRPr="00197AFB">
        <w:rPr>
          <w:b/>
          <w:sz w:val="24"/>
          <w:szCs w:val="24"/>
        </w:rPr>
        <w:t>SECOND CLAIM FOR RELIEF</w:t>
      </w:r>
    </w:p>
    <w:p w14:paraId="6D4D6B81" w14:textId="77777777" w:rsidR="002C34A4" w:rsidRPr="00197AFB" w:rsidRDefault="002C34A4" w:rsidP="002C34A4">
      <w:pPr>
        <w:spacing w:line="240" w:lineRule="auto"/>
        <w:contextualSpacing/>
        <w:jc w:val="center"/>
        <w:rPr>
          <w:sz w:val="24"/>
          <w:szCs w:val="24"/>
        </w:rPr>
      </w:pPr>
    </w:p>
    <w:p w14:paraId="4E221B6A" w14:textId="77777777" w:rsidR="002C34A4" w:rsidRPr="00197AFB" w:rsidRDefault="002C34A4" w:rsidP="002C34A4">
      <w:pPr>
        <w:contextualSpacing/>
        <w:jc w:val="center"/>
        <w:rPr>
          <w:rFonts w:eastAsia="Times New Roman" w:cs="Times New Roman"/>
          <w:b/>
          <w:bCs/>
          <w:sz w:val="24"/>
          <w:szCs w:val="24"/>
        </w:rPr>
      </w:pPr>
      <w:r w:rsidRPr="00197AFB">
        <w:rPr>
          <w:rFonts w:eastAsia="Times New Roman" w:cs="Times New Roman"/>
          <w:b/>
          <w:bCs/>
          <w:sz w:val="24"/>
          <w:szCs w:val="24"/>
        </w:rPr>
        <w:t xml:space="preserve">VIOLATION OF THE IMMIGRATION AND NATIONALITY ACT § 235(b), 8 U.S.C. § 1225(b) </w:t>
      </w:r>
    </w:p>
    <w:p w14:paraId="0D828C8D" w14:textId="77777777" w:rsidR="002C34A4" w:rsidRPr="00197AFB" w:rsidRDefault="002C34A4" w:rsidP="002C34A4">
      <w:pPr>
        <w:pStyle w:val="ListParagraph"/>
        <w:numPr>
          <w:ilvl w:val="0"/>
          <w:numId w:val="32"/>
        </w:numPr>
        <w:spacing w:line="480" w:lineRule="auto"/>
        <w:ind w:left="0" w:firstLine="0"/>
        <w:rPr>
          <w:sz w:val="24"/>
          <w:szCs w:val="24"/>
        </w:rPr>
      </w:pPr>
      <w:r w:rsidRPr="00197AFB">
        <w:rPr>
          <w:sz w:val="24"/>
          <w:szCs w:val="24"/>
        </w:rPr>
        <w:t>Petitioner re-alleges and incorporates by reference the paragraphs above.</w:t>
      </w:r>
    </w:p>
    <w:p w14:paraId="6456A4EF" w14:textId="77777777" w:rsidR="002C34A4" w:rsidRPr="00197AFB" w:rsidRDefault="002C34A4" w:rsidP="002C34A4">
      <w:pPr>
        <w:pStyle w:val="ListParagraph"/>
        <w:numPr>
          <w:ilvl w:val="0"/>
          <w:numId w:val="32"/>
        </w:numPr>
        <w:spacing w:line="480" w:lineRule="auto"/>
        <w:ind w:left="0" w:firstLine="0"/>
        <w:rPr>
          <w:sz w:val="24"/>
          <w:szCs w:val="24"/>
        </w:rPr>
      </w:pPr>
      <w:r w:rsidRPr="00197AFB">
        <w:rPr>
          <w:sz w:val="24"/>
          <w:szCs w:val="24"/>
        </w:rPr>
        <w:t xml:space="preserve">Under the statutory interpretation doctrine of constitutional avoidance, the Court should construe </w:t>
      </w:r>
      <w:r w:rsidRPr="00197AFB">
        <w:rPr>
          <w:rFonts w:eastAsia="Times New Roman" w:cs="Times New Roman"/>
          <w:sz w:val="24"/>
          <w:szCs w:val="24"/>
        </w:rPr>
        <w:t xml:space="preserve">§ </w:t>
      </w:r>
      <w:r w:rsidRPr="00197AFB">
        <w:rPr>
          <w:sz w:val="24"/>
          <w:szCs w:val="24"/>
        </w:rPr>
        <w:t>1225(b) as limited to a reasonably brief period, extendable only if the government shows justification for detention at a bond hearing.</w:t>
      </w:r>
    </w:p>
    <w:p w14:paraId="6B024900" w14:textId="77777777" w:rsidR="002C34A4" w:rsidRPr="00197AFB" w:rsidRDefault="002C34A4" w:rsidP="002C34A4">
      <w:pPr>
        <w:pStyle w:val="ListParagraph"/>
        <w:numPr>
          <w:ilvl w:val="0"/>
          <w:numId w:val="32"/>
        </w:numPr>
        <w:spacing w:line="480" w:lineRule="auto"/>
        <w:ind w:left="0" w:firstLine="0"/>
        <w:rPr>
          <w:sz w:val="24"/>
          <w:szCs w:val="24"/>
        </w:rPr>
      </w:pPr>
      <w:r w:rsidRPr="00197AFB">
        <w:rPr>
          <w:sz w:val="24"/>
          <w:szCs w:val="24"/>
        </w:rPr>
        <w:t xml:space="preserve">Though the government’s interpretation of </w:t>
      </w:r>
      <w:r w:rsidRPr="00197AFB">
        <w:rPr>
          <w:rFonts w:eastAsia="Times New Roman" w:cs="Times New Roman"/>
          <w:sz w:val="24"/>
          <w:szCs w:val="24"/>
        </w:rPr>
        <w:t xml:space="preserve">§ </w:t>
      </w:r>
      <w:r w:rsidRPr="00197AFB">
        <w:rPr>
          <w:sz w:val="24"/>
          <w:szCs w:val="24"/>
        </w:rPr>
        <w:t>1225(b) as permitting indefinite mandatory detention is unconstitutional, “[w]</w:t>
      </w:r>
      <w:r w:rsidRPr="00197AFB">
        <w:rPr>
          <w:rFonts w:ascii="Times New Roman" w:eastAsia="Times New Roman" w:hAnsi="Times New Roman" w:cs="Times New Roman"/>
          <w:sz w:val="24"/>
          <w:szCs w:val="24"/>
        </w:rPr>
        <w:t xml:space="preserve">hen the validity of an act of the Congress is drawn in question, and even if a serious doubt of constitutionality is raised, it is a cardinal principle that this Court will first ascertain whether a construction of the statute is fairly possible by which the question may be avoided.” </w:t>
      </w:r>
      <w:r w:rsidRPr="00197AFB">
        <w:rPr>
          <w:rFonts w:ascii="Times New Roman" w:eastAsia="Times New Roman" w:hAnsi="Times New Roman" w:cs="Times New Roman"/>
          <w:sz w:val="24"/>
          <w:szCs w:val="24"/>
          <w:u w:val="single"/>
        </w:rPr>
        <w:t>Crowell v. Benson</w:t>
      </w:r>
      <w:r w:rsidRPr="00197AFB">
        <w:rPr>
          <w:rFonts w:ascii="Times New Roman" w:eastAsia="Times New Roman" w:hAnsi="Times New Roman" w:cs="Times New Roman"/>
          <w:sz w:val="24"/>
          <w:szCs w:val="24"/>
        </w:rPr>
        <w:t xml:space="preserve">, 285 U.S. 22, 62 (1932); </w:t>
      </w:r>
      <w:r w:rsidRPr="00197AFB">
        <w:rPr>
          <w:rFonts w:ascii="Times New Roman" w:eastAsia="Times New Roman" w:hAnsi="Times New Roman" w:cs="Times New Roman"/>
          <w:sz w:val="24"/>
          <w:szCs w:val="24"/>
          <w:u w:val="single"/>
        </w:rPr>
        <w:t>see</w:t>
      </w:r>
      <w:r w:rsidRPr="00197AFB">
        <w:rPr>
          <w:rFonts w:ascii="Times New Roman" w:eastAsia="Times New Roman" w:hAnsi="Times New Roman" w:cs="Times New Roman"/>
          <w:sz w:val="24"/>
          <w:szCs w:val="24"/>
        </w:rPr>
        <w:t xml:space="preserve"> </w:t>
      </w:r>
      <w:r w:rsidRPr="00197AFB">
        <w:rPr>
          <w:rFonts w:ascii="Times New Roman" w:eastAsia="Times New Roman" w:hAnsi="Times New Roman" w:cs="Times New Roman"/>
          <w:sz w:val="24"/>
          <w:szCs w:val="24"/>
          <w:u w:val="single"/>
        </w:rPr>
        <w:t>also</w:t>
      </w:r>
      <w:r w:rsidRPr="00197AFB">
        <w:rPr>
          <w:rFonts w:ascii="Times New Roman" w:eastAsia="Times New Roman" w:hAnsi="Times New Roman" w:cs="Times New Roman"/>
          <w:sz w:val="24"/>
          <w:szCs w:val="24"/>
        </w:rPr>
        <w:t xml:space="preserve"> </w:t>
      </w:r>
      <w:r w:rsidRPr="00197AFB">
        <w:rPr>
          <w:rFonts w:ascii="Times New Roman" w:eastAsia="Times New Roman" w:hAnsi="Times New Roman" w:cs="Times New Roman"/>
          <w:sz w:val="24"/>
          <w:szCs w:val="24"/>
          <w:u w:val="single"/>
        </w:rPr>
        <w:t>Zadvydas</w:t>
      </w:r>
      <w:r w:rsidRPr="00197AFB">
        <w:rPr>
          <w:rFonts w:ascii="Times New Roman" w:eastAsia="Times New Roman" w:hAnsi="Times New Roman" w:cs="Times New Roman"/>
          <w:sz w:val="24"/>
          <w:szCs w:val="24"/>
        </w:rPr>
        <w:t xml:space="preserve">, 533 U.S. 678 at 689 (citing </w:t>
      </w:r>
      <w:r w:rsidRPr="00197AFB">
        <w:rPr>
          <w:rFonts w:ascii="Times New Roman" w:eastAsia="Times New Roman" w:hAnsi="Times New Roman" w:cs="Times New Roman"/>
          <w:sz w:val="24"/>
          <w:szCs w:val="24"/>
          <w:u w:val="single"/>
        </w:rPr>
        <w:t>Crowell</w:t>
      </w:r>
      <w:r w:rsidRPr="00197A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doctrine of statutory interpretation is known as constitutional avoidance.</w:t>
      </w:r>
    </w:p>
    <w:p w14:paraId="51B77F95" w14:textId="77777777" w:rsidR="002C34A4" w:rsidRPr="00197AFB" w:rsidRDefault="002C34A4" w:rsidP="002C34A4">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“[T]he Supreme Court has instructed that, where one possible application of a statute raises constitutional concerns, the statute as a whole should be construed through the prism of constitutional avoidance.” </w:t>
      </w:r>
      <w:r w:rsidRPr="00197AFB">
        <w:rPr>
          <w:rFonts w:ascii="Times New Roman" w:hAnsi="Times New Roman" w:cs="Times New Roman"/>
          <w:sz w:val="24"/>
          <w:szCs w:val="24"/>
          <w:u w:val="single"/>
        </w:rPr>
        <w:t>Rodriguez v. Robbins</w:t>
      </w:r>
      <w:r w:rsidRPr="00197AFB">
        <w:rPr>
          <w:rFonts w:ascii="Times New Roman" w:hAnsi="Times New Roman" w:cs="Times New Roman"/>
          <w:sz w:val="24"/>
          <w:szCs w:val="24"/>
        </w:rPr>
        <w:t xml:space="preserve">, 715 F.3d 1127, 1141 (citing </w:t>
      </w:r>
      <w:r w:rsidRPr="00197AFB">
        <w:rPr>
          <w:rFonts w:ascii="Times New Roman" w:hAnsi="Times New Roman" w:cs="Times New Roman"/>
          <w:sz w:val="24"/>
          <w:szCs w:val="24"/>
          <w:u w:val="single"/>
        </w:rPr>
        <w:t>Clark v. Martinez</w:t>
      </w:r>
      <w:r w:rsidRPr="00197AFB">
        <w:rPr>
          <w:rFonts w:ascii="Times New Roman" w:hAnsi="Times New Roman" w:cs="Times New Roman"/>
          <w:sz w:val="24"/>
          <w:szCs w:val="24"/>
        </w:rPr>
        <w:t xml:space="preserve">, 543 U.S. 371, 380 (2005)). “Thus, the dispositive question is not whether the government’s </w:t>
      </w:r>
      <w:r w:rsidRPr="00197AFB">
        <w:rPr>
          <w:rFonts w:ascii="Times New Roman" w:hAnsi="Times New Roman" w:cs="Times New Roman"/>
          <w:sz w:val="24"/>
          <w:szCs w:val="24"/>
        </w:rPr>
        <w:lastRenderedPageBreak/>
        <w:t xml:space="preserve">reading of § 1225(b) is permissible in some (or even most) cases, but rather whether there is any single application of the statute that calls for a limiting construction.” </w:t>
      </w:r>
      <w:r w:rsidRPr="00197AFB">
        <w:rPr>
          <w:rFonts w:ascii="Times New Roman" w:hAnsi="Times New Roman" w:cs="Times New Roman"/>
          <w:sz w:val="24"/>
          <w:szCs w:val="24"/>
          <w:u w:val="single"/>
        </w:rPr>
        <w:t>Id.</w:t>
      </w:r>
    </w:p>
    <w:p w14:paraId="07A65744" w14:textId="77777777" w:rsidR="002C34A4" w:rsidRPr="009D22D4" w:rsidRDefault="002C34A4" w:rsidP="002C34A4">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In </w:t>
      </w:r>
      <w:r w:rsidRPr="00197AFB">
        <w:rPr>
          <w:rFonts w:ascii="Times New Roman" w:hAnsi="Times New Roman" w:cs="Times New Roman"/>
          <w:sz w:val="24"/>
          <w:szCs w:val="24"/>
          <w:u w:val="single"/>
        </w:rPr>
        <w:t>Martinez</w:t>
      </w:r>
      <w:r w:rsidRPr="00197AFB">
        <w:rPr>
          <w:rFonts w:ascii="Times New Roman" w:hAnsi="Times New Roman" w:cs="Times New Roman"/>
          <w:sz w:val="24"/>
          <w:szCs w:val="24"/>
        </w:rPr>
        <w:t xml:space="preserve">, the Court analyzed § 1231(a)(6), a statute it had previously read as a matter of constitutional avoidance to limit mandatory detention after the conclusion of removal proceedings to a presumptively reasonable period of six months. </w:t>
      </w:r>
      <w:r w:rsidRPr="00197AFB">
        <w:rPr>
          <w:rFonts w:ascii="Times New Roman" w:hAnsi="Times New Roman" w:cs="Times New Roman"/>
          <w:sz w:val="24"/>
          <w:szCs w:val="24"/>
          <w:u w:val="single"/>
        </w:rPr>
        <w:t>Zadvydas v. Davis</w:t>
      </w:r>
      <w:r w:rsidRPr="00197AFB">
        <w:rPr>
          <w:rFonts w:ascii="Times New Roman" w:hAnsi="Times New Roman" w:cs="Times New Roman"/>
          <w:sz w:val="24"/>
          <w:szCs w:val="24"/>
        </w:rPr>
        <w:t xml:space="preserve">, 533 U.S. 678. The same statute applied to both admitted and inadmissible noncitizens, but the government argued that the same limit on detention did not apply to inadmissible noncitizens because they were not entitled to the same constitutional protections. </w:t>
      </w:r>
      <w:r w:rsidRPr="00197AFB">
        <w:rPr>
          <w:rFonts w:ascii="Times New Roman" w:hAnsi="Times New Roman" w:cs="Times New Roman"/>
          <w:sz w:val="24"/>
          <w:szCs w:val="24"/>
          <w:u w:val="single"/>
        </w:rPr>
        <w:t>Martinez</w:t>
      </w:r>
      <w:r w:rsidRPr="00197AFB">
        <w:rPr>
          <w:rFonts w:ascii="Times New Roman" w:hAnsi="Times New Roman" w:cs="Times New Roman"/>
          <w:sz w:val="24"/>
          <w:szCs w:val="24"/>
        </w:rPr>
        <w:t xml:space="preserve">, 543 U.S. at 380. </w:t>
      </w:r>
    </w:p>
    <w:p w14:paraId="136E80E8" w14:textId="77777777" w:rsidR="002C34A4" w:rsidRPr="00197AFB" w:rsidRDefault="002C34A4" w:rsidP="002C34A4">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The text </w:t>
      </w:r>
      <w:r>
        <w:rPr>
          <w:rFonts w:ascii="Times New Roman" w:hAnsi="Times New Roman" w:cs="Times New Roman"/>
          <w:sz w:val="24"/>
          <w:szCs w:val="24"/>
        </w:rPr>
        <w:t xml:space="preserve">of the statute </w:t>
      </w:r>
      <w:r w:rsidRPr="00197AFB">
        <w:rPr>
          <w:rFonts w:ascii="Times New Roman" w:hAnsi="Times New Roman" w:cs="Times New Roman"/>
          <w:sz w:val="24"/>
          <w:szCs w:val="24"/>
        </w:rPr>
        <w:t xml:space="preserve">did not distinguish between the two classes, however, and </w:t>
      </w:r>
      <w:r w:rsidRPr="00197AFB">
        <w:rPr>
          <w:rFonts w:ascii="Times New Roman" w:eastAsia="Times New Roman" w:hAnsi="Times New Roman" w:cs="Times New Roman"/>
          <w:sz w:val="24"/>
          <w:szCs w:val="24"/>
        </w:rPr>
        <w:t>“[t]o give these same words a different meaning for each category would be to invent a statute rather than interpret one.”</w:t>
      </w:r>
      <w:r w:rsidRPr="00197AFB">
        <w:rPr>
          <w:rFonts w:ascii="Times New Roman" w:hAnsi="Times New Roman" w:cs="Times New Roman"/>
          <w:sz w:val="24"/>
          <w:szCs w:val="24"/>
        </w:rPr>
        <w:t xml:space="preserve"> </w:t>
      </w:r>
      <w:r w:rsidRPr="00197AFB">
        <w:rPr>
          <w:rFonts w:ascii="Times New Roman" w:hAnsi="Times New Roman" w:cs="Times New Roman"/>
          <w:sz w:val="24"/>
          <w:szCs w:val="24"/>
          <w:u w:val="single"/>
        </w:rPr>
        <w:t>Id.</w:t>
      </w:r>
      <w:r w:rsidRPr="00197AFB">
        <w:rPr>
          <w:rFonts w:ascii="Times New Roman" w:hAnsi="Times New Roman" w:cs="Times New Roman"/>
          <w:sz w:val="24"/>
          <w:szCs w:val="24"/>
        </w:rPr>
        <w:t xml:space="preserve"> at 378. Because the same statutory text applied to both groups, and detention for more than six months raised constitutional concerns for at least the admitted noncitizens, every noncitizen subject to the statute was entitled to the same reading limiting mandatory detention. “The lowest common denominator, as it were, must govern.” </w:t>
      </w:r>
      <w:r w:rsidRPr="00197AFB">
        <w:rPr>
          <w:rFonts w:ascii="Times New Roman" w:hAnsi="Times New Roman" w:cs="Times New Roman"/>
          <w:sz w:val="24"/>
          <w:szCs w:val="24"/>
          <w:u w:val="single"/>
        </w:rPr>
        <w:t>Id.</w:t>
      </w:r>
      <w:r w:rsidRPr="00197AFB">
        <w:rPr>
          <w:rFonts w:ascii="Times New Roman" w:hAnsi="Times New Roman" w:cs="Times New Roman"/>
          <w:sz w:val="24"/>
          <w:szCs w:val="24"/>
        </w:rPr>
        <w:t xml:space="preserve"> at 380.</w:t>
      </w:r>
    </w:p>
    <w:p w14:paraId="1153F669" w14:textId="77777777" w:rsidR="002C34A4" w:rsidRPr="00197AFB" w:rsidRDefault="002C34A4" w:rsidP="002C34A4">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The government reads § 1225(b) to permit the prolonged detention without a bond hearing of all </w:t>
      </w:r>
      <w:r w:rsidRPr="00197AFB">
        <w:rPr>
          <w:rFonts w:eastAsia="Times New Roman" w:cs="Times New Roman"/>
          <w:sz w:val="24"/>
          <w:szCs w:val="24"/>
        </w:rPr>
        <w:t xml:space="preserve">“arriving aliens,” 8 C.F.R. § 1.2., </w:t>
      </w:r>
      <w:r w:rsidRPr="00197AFB">
        <w:rPr>
          <w:rFonts w:ascii="Times New Roman" w:hAnsi="Times New Roman" w:cs="Times New Roman"/>
          <w:sz w:val="24"/>
          <w:szCs w:val="24"/>
        </w:rPr>
        <w:t xml:space="preserve">including both asylum seekers and certain lawful permanent residents (“LPR”) who depart the country and seek admission upon their return. INA § 101(a)(13)(C), 8 U.S.C. § 1101(a)(13)(C) (identifying LPRs classified as arriving aliens when returning to the United States after travel abroad); 8 C.F.R. § 1003.19(h)(2)(i)(B) (depriving an immigration judge of jurisdiction over a bond hearing for arriving aliens in removal proceedings). </w:t>
      </w:r>
    </w:p>
    <w:p w14:paraId="5D20E17A" w14:textId="77777777" w:rsidR="002C34A4" w:rsidRPr="00197AFB" w:rsidRDefault="002C34A4" w:rsidP="002C34A4">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As explained above in the First Claim for Relief, arriving asylum seekers are entitled to be free from arbitrary and capricious detention under the Due Process Clause. Even assuming </w:t>
      </w:r>
      <w:r w:rsidRPr="00197AFB">
        <w:rPr>
          <w:rFonts w:ascii="Times New Roman" w:hAnsi="Times New Roman" w:cs="Times New Roman"/>
          <w:i/>
          <w:sz w:val="24"/>
          <w:szCs w:val="24"/>
        </w:rPr>
        <w:lastRenderedPageBreak/>
        <w:t>arguendo</w:t>
      </w:r>
      <w:r w:rsidRPr="00197AFB">
        <w:rPr>
          <w:rFonts w:ascii="Times New Roman" w:hAnsi="Times New Roman" w:cs="Times New Roman"/>
          <w:sz w:val="24"/>
          <w:szCs w:val="24"/>
        </w:rPr>
        <w:t xml:space="preserve"> they were not, however, LPRs are entitled to due process in prolonged detention because “once an alien gains admission to our country and begins to develop the ties that go with permanent residence his constitutional status changes accordingly.” </w:t>
      </w:r>
      <w:r w:rsidRPr="00197AFB">
        <w:rPr>
          <w:rFonts w:ascii="Times New Roman" w:hAnsi="Times New Roman" w:cs="Times New Roman"/>
          <w:sz w:val="24"/>
          <w:szCs w:val="24"/>
          <w:u w:val="single"/>
        </w:rPr>
        <w:t>Landon v. Plasencia</w:t>
      </w:r>
      <w:r w:rsidRPr="00197AFB">
        <w:rPr>
          <w:rFonts w:ascii="Times New Roman" w:hAnsi="Times New Roman" w:cs="Times New Roman"/>
          <w:sz w:val="24"/>
          <w:szCs w:val="24"/>
        </w:rPr>
        <w:t xml:space="preserve">, 459 U.S. 21, 32 (1982). </w:t>
      </w:r>
    </w:p>
    <w:p w14:paraId="5176DC29" w14:textId="77777777" w:rsidR="002C34A4" w:rsidRPr="00197AFB" w:rsidRDefault="002C34A4" w:rsidP="002C34A4">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In </w:t>
      </w:r>
      <w:r w:rsidRPr="00197AFB">
        <w:rPr>
          <w:rFonts w:ascii="Times New Roman" w:hAnsi="Times New Roman" w:cs="Times New Roman"/>
          <w:sz w:val="24"/>
          <w:szCs w:val="24"/>
          <w:u w:val="single"/>
        </w:rPr>
        <w:t>Plasencia</w:t>
      </w:r>
      <w:r w:rsidRPr="00197AFB">
        <w:rPr>
          <w:rFonts w:ascii="Times New Roman" w:hAnsi="Times New Roman" w:cs="Times New Roman"/>
          <w:sz w:val="24"/>
          <w:szCs w:val="24"/>
        </w:rPr>
        <w:t xml:space="preserve">, the Supreme Court ruled that an LPR seeking readmission after a trip abroad and charged as “excludable” (the former term of art for “inadmissible” under then-current immigration laws), could nonetheless “invoke the Due Process Clause on returning to this country . . . .” </w:t>
      </w:r>
      <w:r w:rsidRPr="00197AFB">
        <w:rPr>
          <w:rFonts w:ascii="Times New Roman" w:hAnsi="Times New Roman" w:cs="Times New Roman"/>
          <w:sz w:val="24"/>
          <w:szCs w:val="24"/>
          <w:u w:val="single"/>
        </w:rPr>
        <w:t>Id.</w:t>
      </w:r>
      <w:r w:rsidRPr="00197AFB">
        <w:rPr>
          <w:rFonts w:ascii="Times New Roman" w:hAnsi="Times New Roman" w:cs="Times New Roman"/>
          <w:sz w:val="24"/>
          <w:szCs w:val="24"/>
        </w:rPr>
        <w:t xml:space="preserve"> Because an LPR’s due process right is constitutional in nature, it may not be stripped by mere statutory designation as an “arriving alien.” </w:t>
      </w:r>
      <w:r w:rsidRPr="00197AFB">
        <w:rPr>
          <w:rFonts w:ascii="Times New Roman" w:hAnsi="Times New Roman" w:cs="Times New Roman"/>
          <w:sz w:val="24"/>
          <w:szCs w:val="24"/>
          <w:u w:val="single"/>
        </w:rPr>
        <w:t>See</w:t>
      </w:r>
      <w:r w:rsidRPr="00197AFB">
        <w:rPr>
          <w:rFonts w:ascii="Times New Roman" w:hAnsi="Times New Roman" w:cs="Times New Roman"/>
          <w:sz w:val="24"/>
          <w:szCs w:val="24"/>
        </w:rPr>
        <w:t xml:space="preserve"> </w:t>
      </w:r>
      <w:r w:rsidRPr="00197AFB">
        <w:rPr>
          <w:rFonts w:ascii="Times New Roman" w:hAnsi="Times New Roman" w:cs="Times New Roman"/>
          <w:sz w:val="24"/>
          <w:szCs w:val="24"/>
          <w:u w:val="single"/>
        </w:rPr>
        <w:t>Kwong Hai Chew v. Colding</w:t>
      </w:r>
      <w:r w:rsidRPr="00197AFB">
        <w:rPr>
          <w:rFonts w:ascii="Times New Roman" w:hAnsi="Times New Roman" w:cs="Times New Roman"/>
          <w:sz w:val="24"/>
          <w:szCs w:val="24"/>
        </w:rPr>
        <w:t xml:space="preserve">, 344 U.S. 590, 600 (1953) (in the case of a returning LPR, holding that “[f]rom a constitutional point of view, he is entitled to due process without regard to whether or not, for immigration purposes, he is to be treated as an entrant alien”). </w:t>
      </w:r>
    </w:p>
    <w:p w14:paraId="57E8FEBD" w14:textId="77777777" w:rsidR="002C34A4" w:rsidRPr="00197AFB" w:rsidRDefault="002C34A4" w:rsidP="002C34A4">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Section 1225(b) would therefore “raise a serious constitutional problem,” </w:t>
      </w:r>
      <w:r w:rsidRPr="00197AFB">
        <w:rPr>
          <w:rFonts w:ascii="Times New Roman" w:hAnsi="Times New Roman" w:cs="Times New Roman"/>
          <w:sz w:val="24"/>
          <w:szCs w:val="24"/>
          <w:u w:val="single"/>
        </w:rPr>
        <w:t>Zadvydas</w:t>
      </w:r>
      <w:r w:rsidRPr="00197AFB">
        <w:rPr>
          <w:rFonts w:ascii="Times New Roman" w:hAnsi="Times New Roman" w:cs="Times New Roman"/>
          <w:sz w:val="24"/>
          <w:szCs w:val="24"/>
        </w:rPr>
        <w:t xml:space="preserve">, 533 U.S. at 690, if read to deny a bond hearing to LPRs held as arriving aliens in prolonged detention. Thus, as a matter of constitutional avoidance, the statute must be read to require a bond hearing when detention becomes unreasonably </w:t>
      </w:r>
      <w:r w:rsidRPr="0017524E">
        <w:rPr>
          <w:rFonts w:ascii="Times New Roman" w:hAnsi="Times New Roman" w:cs="Times New Roman"/>
          <w:sz w:val="24"/>
          <w:szCs w:val="24"/>
        </w:rPr>
        <w:t xml:space="preserve">prolonged. </w:t>
      </w:r>
      <w:r w:rsidRPr="0017524E">
        <w:rPr>
          <w:sz w:val="24"/>
          <w:szCs w:val="24"/>
          <w:u w:val="single"/>
        </w:rPr>
        <w:t>Ricketts v. Simonse</w:t>
      </w:r>
      <w:r w:rsidRPr="0017524E">
        <w:rPr>
          <w:sz w:val="24"/>
          <w:szCs w:val="24"/>
        </w:rPr>
        <w:t>,</w:t>
      </w:r>
      <w:r w:rsidRPr="0017524E">
        <w:rPr>
          <w:i/>
          <w:sz w:val="24"/>
          <w:szCs w:val="24"/>
        </w:rPr>
        <w:t xml:space="preserve"> </w:t>
      </w:r>
      <w:r>
        <w:rPr>
          <w:sz w:val="24"/>
          <w:szCs w:val="24"/>
        </w:rPr>
        <w:t xml:space="preserve">2016 WL 7335675; </w:t>
      </w:r>
      <w:r w:rsidRPr="0017524E">
        <w:rPr>
          <w:rFonts w:cstheme="minorHAnsi"/>
          <w:color w:val="222222"/>
          <w:sz w:val="24"/>
          <w:szCs w:val="24"/>
          <w:u w:val="single"/>
          <w:shd w:val="clear" w:color="auto" w:fill="FFFFFF"/>
        </w:rPr>
        <w:t>Arias v. Aviles</w:t>
      </w:r>
      <w:r w:rsidRPr="0017524E">
        <w:rPr>
          <w:rFonts w:cstheme="minorHAnsi"/>
          <w:color w:val="222222"/>
          <w:sz w:val="24"/>
          <w:szCs w:val="24"/>
          <w:shd w:val="clear" w:color="auto" w:fill="FFFFFF"/>
        </w:rPr>
        <w:t>, 2016 WL 3906738 *</w:t>
      </w:r>
      <w:r w:rsidRPr="00197AFB">
        <w:rPr>
          <w:rFonts w:cstheme="minorHAnsi"/>
          <w:bCs/>
          <w:color w:val="222222"/>
          <w:sz w:val="24"/>
          <w:szCs w:val="24"/>
          <w:shd w:val="clear" w:color="auto" w:fill="FFFFFF"/>
        </w:rPr>
        <w:t>4-*10</w:t>
      </w:r>
      <w:r w:rsidRPr="00197AFB">
        <w:rPr>
          <w:rFonts w:cstheme="minorHAnsi"/>
          <w:color w:val="222222"/>
          <w:sz w:val="24"/>
          <w:szCs w:val="24"/>
          <w:shd w:val="clear" w:color="auto" w:fill="FFFFFF"/>
        </w:rPr>
        <w:t>.</w:t>
      </w:r>
    </w:p>
    <w:p w14:paraId="20817D71" w14:textId="77777777" w:rsidR="002C34A4" w:rsidRPr="00197AFB" w:rsidRDefault="002C34A4" w:rsidP="002C34A4">
      <w:pPr>
        <w:pStyle w:val="ListParagraph"/>
        <w:numPr>
          <w:ilvl w:val="0"/>
          <w:numId w:val="32"/>
        </w:numPr>
        <w:spacing w:line="480" w:lineRule="auto"/>
        <w:ind w:left="0" w:firstLine="0"/>
        <w:rPr>
          <w:sz w:val="24"/>
          <w:szCs w:val="24"/>
        </w:rPr>
      </w:pPr>
      <w:r w:rsidRPr="00197AFB">
        <w:rPr>
          <w:rFonts w:ascii="Times New Roman" w:hAnsi="Times New Roman" w:cs="Times New Roman"/>
          <w:sz w:val="24"/>
          <w:szCs w:val="24"/>
        </w:rPr>
        <w:t xml:space="preserve">Moreover, because the text of § 1225(b) does not distinguish between LPRs and other noncitizens charged as arriving aliens, LPRs are the statute’s “lowest common denominator.”  </w:t>
      </w:r>
      <w:r w:rsidRPr="00197AFB">
        <w:rPr>
          <w:rFonts w:ascii="Times New Roman" w:hAnsi="Times New Roman" w:cs="Times New Roman"/>
          <w:sz w:val="24"/>
          <w:szCs w:val="24"/>
          <w:u w:val="single"/>
        </w:rPr>
        <w:t>Martinez</w:t>
      </w:r>
      <w:r w:rsidRPr="00197AFB">
        <w:rPr>
          <w:rFonts w:ascii="Times New Roman" w:hAnsi="Times New Roman" w:cs="Times New Roman"/>
          <w:sz w:val="24"/>
          <w:szCs w:val="24"/>
        </w:rPr>
        <w:t>, 543 U.S. at 380. Section 1225(b) must therefore be read to grant all noncitizens held as arriving aliens the same due process protections afforded to LPRs in unreasonably prolonged detention.</w:t>
      </w:r>
      <w:r w:rsidRPr="00197AFB">
        <w:rPr>
          <w:sz w:val="24"/>
          <w:szCs w:val="24"/>
        </w:rPr>
        <w:t xml:space="preserve"> </w:t>
      </w:r>
      <w:r w:rsidRPr="00197AFB">
        <w:rPr>
          <w:rFonts w:ascii="Times New Roman" w:hAnsi="Times New Roman" w:cs="Times New Roman"/>
          <w:sz w:val="24"/>
          <w:szCs w:val="24"/>
          <w:u w:val="single"/>
        </w:rPr>
        <w:t>Rodriguez v. Robbins</w:t>
      </w:r>
      <w:r w:rsidRPr="00197AFB">
        <w:rPr>
          <w:rFonts w:ascii="Times New Roman" w:hAnsi="Times New Roman" w:cs="Times New Roman"/>
          <w:sz w:val="24"/>
          <w:szCs w:val="24"/>
        </w:rPr>
        <w:t>, 715 F.3d 1127, 1142-43</w:t>
      </w:r>
      <w:r>
        <w:rPr>
          <w:rFonts w:ascii="Times New Roman" w:hAnsi="Times New Roman" w:cs="Times New Roman"/>
          <w:sz w:val="24"/>
          <w:szCs w:val="24"/>
        </w:rPr>
        <w:t>, at *1</w:t>
      </w:r>
      <w:r w:rsidRPr="00197AFB">
        <w:rPr>
          <w:rFonts w:ascii="Times New Roman" w:hAnsi="Times New Roman" w:cs="Times New Roman"/>
          <w:sz w:val="24"/>
          <w:szCs w:val="24"/>
        </w:rPr>
        <w:t xml:space="preserve">; </w:t>
      </w:r>
      <w:r w:rsidRPr="00197AFB">
        <w:rPr>
          <w:rFonts w:ascii="Times New Roman" w:eastAsia="Times New Roman" w:hAnsi="Times New Roman" w:cs="Times New Roman"/>
          <w:sz w:val="24"/>
          <w:szCs w:val="24"/>
          <w:u w:val="single"/>
        </w:rPr>
        <w:t>Saleem v. Shanahan</w:t>
      </w:r>
      <w:r w:rsidRPr="00197AFB">
        <w:rPr>
          <w:rFonts w:ascii="Times New Roman" w:eastAsia="Times New Roman" w:hAnsi="Times New Roman" w:cs="Times New Roman"/>
          <w:sz w:val="24"/>
          <w:szCs w:val="24"/>
        </w:rPr>
        <w:t>, 2016 WL 4435246, at *3-*5.</w:t>
      </w:r>
    </w:p>
    <w:p w14:paraId="3EA85769" w14:textId="14835D93" w:rsidR="002C34A4" w:rsidRPr="00166C9B" w:rsidRDefault="002C34A4" w:rsidP="006A4E69">
      <w:pPr>
        <w:pStyle w:val="ListParagraph"/>
        <w:numPr>
          <w:ilvl w:val="0"/>
          <w:numId w:val="32"/>
        </w:numPr>
        <w:spacing w:line="480" w:lineRule="auto"/>
        <w:ind w:left="0" w:firstLine="0"/>
        <w:rPr>
          <w:rFonts w:ascii="Times New Roman" w:hAnsi="Times New Roman" w:cs="Times New Roman"/>
          <w:sz w:val="24"/>
          <w:szCs w:val="24"/>
        </w:rPr>
      </w:pPr>
      <w:r w:rsidRPr="00166C9B">
        <w:rPr>
          <w:rFonts w:ascii="Times New Roman" w:hAnsi="Times New Roman" w:cs="Times New Roman"/>
          <w:sz w:val="24"/>
          <w:szCs w:val="24"/>
        </w:rPr>
        <w:lastRenderedPageBreak/>
        <w:t xml:space="preserve">The only Court of Appeals to address detention under § 1225(b) holds that it becomes unreasonably prolonged at six months. </w:t>
      </w:r>
      <w:r w:rsidRPr="00166C9B">
        <w:rPr>
          <w:rFonts w:ascii="Times New Roman" w:hAnsi="Times New Roman" w:cs="Times New Roman"/>
          <w:sz w:val="24"/>
          <w:szCs w:val="24"/>
          <w:u w:val="single"/>
        </w:rPr>
        <w:t>Rodriguez</w:t>
      </w:r>
      <w:r w:rsidRPr="00166C9B">
        <w:rPr>
          <w:rFonts w:ascii="Times New Roman" w:hAnsi="Times New Roman" w:cs="Times New Roman"/>
          <w:sz w:val="24"/>
          <w:szCs w:val="24"/>
        </w:rPr>
        <w:t>, 715 F.3d at 1144. Such a bright-line limit follows</w:t>
      </w:r>
      <w:r w:rsidR="00166C9B" w:rsidRPr="00166C9B">
        <w:rPr>
          <w:rFonts w:ascii="Times New Roman" w:hAnsi="Times New Roman" w:cs="Times New Roman"/>
          <w:sz w:val="24"/>
          <w:szCs w:val="24"/>
        </w:rPr>
        <w:t xml:space="preserve"> the</w:t>
      </w:r>
      <w:r w:rsidRPr="00166C9B">
        <w:rPr>
          <w:rFonts w:ascii="Times New Roman" w:hAnsi="Times New Roman" w:cs="Times New Roman"/>
          <w:sz w:val="24"/>
          <w:szCs w:val="24"/>
        </w:rPr>
        <w:t xml:space="preserve"> practice of</w:t>
      </w:r>
      <w:r w:rsidR="00166C9B" w:rsidRPr="00166C9B">
        <w:rPr>
          <w:rFonts w:ascii="Times New Roman" w:hAnsi="Times New Roman" w:cs="Times New Roman"/>
          <w:sz w:val="24"/>
          <w:szCs w:val="24"/>
        </w:rPr>
        <w:t xml:space="preserve"> both the Supreme Court and Second Circuit of</w:t>
      </w:r>
      <w:r w:rsidRPr="00166C9B">
        <w:rPr>
          <w:rFonts w:ascii="Times New Roman" w:hAnsi="Times New Roman" w:cs="Times New Roman"/>
          <w:sz w:val="24"/>
          <w:szCs w:val="24"/>
        </w:rPr>
        <w:t xml:space="preserve"> limiting mandatory immigration detention to the presumptively reasonable period of six months. </w:t>
      </w:r>
      <w:r w:rsidRPr="00166C9B">
        <w:rPr>
          <w:rFonts w:ascii="Times New Roman" w:hAnsi="Times New Roman" w:cs="Times New Roman"/>
          <w:sz w:val="24"/>
          <w:szCs w:val="24"/>
          <w:u w:val="single"/>
        </w:rPr>
        <w:t>Zadvydas</w:t>
      </w:r>
      <w:r w:rsidRPr="00166C9B">
        <w:rPr>
          <w:rFonts w:ascii="Times New Roman" w:hAnsi="Times New Roman" w:cs="Times New Roman"/>
          <w:sz w:val="24"/>
          <w:szCs w:val="24"/>
        </w:rPr>
        <w:t xml:space="preserve">, 533 U.S. at 701 (“We do have reason to believe . . . that Congress previously doubted the constitutionality of detention for more than six </w:t>
      </w:r>
      <w:r w:rsidR="00166C9B" w:rsidRPr="00166C9B">
        <w:rPr>
          <w:rFonts w:ascii="Times New Roman" w:hAnsi="Times New Roman" w:cs="Times New Roman"/>
          <w:sz w:val="24"/>
          <w:szCs w:val="24"/>
        </w:rPr>
        <w:t xml:space="preserve">months.”); </w:t>
      </w:r>
      <w:r w:rsidR="00166C9B" w:rsidRPr="00166C9B">
        <w:rPr>
          <w:rFonts w:ascii="Times New Roman" w:eastAsia="Times New Roman" w:hAnsi="Times New Roman" w:cs="Times New Roman"/>
          <w:sz w:val="24"/>
          <w:szCs w:val="24"/>
          <w:u w:val="single"/>
        </w:rPr>
        <w:t>Lora v. Shanahan</w:t>
      </w:r>
      <w:r w:rsidR="00166C9B" w:rsidRPr="00166C9B">
        <w:rPr>
          <w:rFonts w:ascii="Times New Roman" w:eastAsia="Times New Roman" w:hAnsi="Times New Roman" w:cs="Times New Roman"/>
          <w:sz w:val="24"/>
          <w:szCs w:val="24"/>
        </w:rPr>
        <w:t>, 804 F.3d 601, 616</w:t>
      </w:r>
      <w:r w:rsidR="00166C9B" w:rsidRPr="00166C9B">
        <w:rPr>
          <w:rFonts w:ascii="Times New Roman" w:eastAsia="Times New Roman" w:hAnsi="Times New Roman" w:cs="Times New Roman"/>
          <w:sz w:val="24"/>
          <w:szCs w:val="24"/>
        </w:rPr>
        <w:t xml:space="preserve"> (2d Cir. 2015)</w:t>
      </w:r>
      <w:r w:rsidR="00166C9B" w:rsidRPr="00166C9B">
        <w:rPr>
          <w:rFonts w:ascii="Times New Roman" w:eastAsia="Times New Roman" w:hAnsi="Times New Roman" w:cs="Times New Roman"/>
          <w:sz w:val="24"/>
          <w:szCs w:val="24"/>
        </w:rPr>
        <w:t xml:space="preserve"> (“[W]e hold that[] in order to avoid the constitutional concerns raised by indefinite detention, an immigrant . . . must be afforded a bail hearing before an immigration judge within six months of his or her detention.”</w:t>
      </w:r>
      <w:r w:rsidR="00166C9B">
        <w:rPr>
          <w:rFonts w:ascii="Times New Roman" w:eastAsia="Times New Roman" w:hAnsi="Times New Roman" w:cs="Times New Roman"/>
          <w:sz w:val="24"/>
          <w:szCs w:val="24"/>
        </w:rPr>
        <w:t xml:space="preserve"> </w:t>
      </w:r>
      <w:r w:rsidRPr="00166C9B">
        <w:rPr>
          <w:rFonts w:ascii="Times New Roman" w:hAnsi="Times New Roman" w:cs="Times New Roman"/>
          <w:sz w:val="24"/>
          <w:szCs w:val="24"/>
        </w:rPr>
        <w:t xml:space="preserve">This Court should therefore find that </w:t>
      </w:r>
      <w:r w:rsidR="00166C9B">
        <w:rPr>
          <w:rFonts w:ascii="Times New Roman" w:hAnsi="Times New Roman" w:cs="Times New Roman"/>
          <w:sz w:val="24"/>
          <w:szCs w:val="24"/>
        </w:rPr>
        <w:t>petitioner,</w:t>
      </w:r>
      <w:r w:rsidRPr="00166C9B">
        <w:rPr>
          <w:rFonts w:ascii="Times New Roman" w:hAnsi="Times New Roman" w:cs="Times New Roman"/>
          <w:sz w:val="24"/>
          <w:szCs w:val="24"/>
        </w:rPr>
        <w:t xml:space="preserve"> whose mandatory detention exceeds six months, is entitled to a bond hearing.</w:t>
      </w:r>
    </w:p>
    <w:p w14:paraId="5B2E35B4" w14:textId="11599D1C" w:rsidR="002C34A4" w:rsidRPr="00197AFB" w:rsidRDefault="00166C9B" w:rsidP="002C34A4">
      <w:pPr>
        <w:pStyle w:val="ListParagraph"/>
        <w:numPr>
          <w:ilvl w:val="0"/>
          <w:numId w:val="32"/>
        </w:numPr>
        <w:spacing w:line="480" w:lineRule="auto"/>
        <w:ind w:left="0" w:firstLine="0"/>
        <w:rPr>
          <w:rFonts w:ascii="Times New Roman" w:hAnsi="Times New Roman" w:cs="Times New Roman"/>
          <w:sz w:val="24"/>
          <w:szCs w:val="24"/>
        </w:rPr>
      </w:pPr>
      <w:r>
        <w:rPr>
          <w:rFonts w:ascii="Times New Roman" w:hAnsi="Times New Roman" w:cs="Times New Roman"/>
          <w:sz w:val="24"/>
          <w:szCs w:val="24"/>
        </w:rPr>
        <w:t>Petitioner’</w:t>
      </w:r>
      <w:r w:rsidR="002C34A4" w:rsidRPr="00197AFB">
        <w:rPr>
          <w:rFonts w:ascii="Times New Roman" w:hAnsi="Times New Roman" w:cs="Times New Roman"/>
          <w:sz w:val="24"/>
          <w:szCs w:val="24"/>
        </w:rPr>
        <w:t xml:space="preserve">s detention is also unreasonably prolonged based on the facts and circumstances of his case, including the overall length of his detention, the promptness of proceedings, the complexity of the case, the reasonable foreseeability of continued, lengthy litigation, and the conditions of confinement. </w:t>
      </w:r>
      <w:r w:rsidR="002C34A4" w:rsidRPr="00197AFB">
        <w:rPr>
          <w:rFonts w:ascii="Times New Roman" w:hAnsi="Times New Roman" w:cs="Times New Roman"/>
          <w:sz w:val="24"/>
          <w:szCs w:val="24"/>
          <w:u w:val="single"/>
        </w:rPr>
        <w:t>Chavez-Alvarez v. Warden York Cty. Prison</w:t>
      </w:r>
      <w:r w:rsidR="002C34A4" w:rsidRPr="00197AFB">
        <w:rPr>
          <w:rFonts w:ascii="Times New Roman" w:hAnsi="Times New Roman" w:cs="Times New Roman"/>
          <w:sz w:val="24"/>
          <w:szCs w:val="24"/>
        </w:rPr>
        <w:t>, 783 F.3d 469, 474-478 (outlining factors that govern when mandatory detention becomes prolonged).</w:t>
      </w:r>
    </w:p>
    <w:p w14:paraId="16CF1D13" w14:textId="77777777" w:rsidR="002C34A4" w:rsidRPr="00197AFB"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hAnsi="Times New Roman" w:cs="Times New Roman"/>
          <w:sz w:val="24"/>
          <w:szCs w:val="24"/>
        </w:rPr>
        <w:t xml:space="preserve">“[S]ometime after the six-month timeframe considered by </w:t>
      </w:r>
      <w:r w:rsidRPr="00197AFB">
        <w:rPr>
          <w:rFonts w:ascii="Times New Roman" w:hAnsi="Times New Roman" w:cs="Times New Roman"/>
          <w:sz w:val="24"/>
          <w:szCs w:val="24"/>
          <w:u w:val="single"/>
        </w:rPr>
        <w:t>Demore</w:t>
      </w:r>
      <w:r w:rsidRPr="00197AFB">
        <w:rPr>
          <w:rFonts w:ascii="Times New Roman" w:hAnsi="Times New Roman" w:cs="Times New Roman"/>
          <w:sz w:val="24"/>
          <w:szCs w:val="24"/>
        </w:rPr>
        <w:t xml:space="preserve">, and certainly by the time [a noncitizen] ha[s] been detained for one year,” mandatory detention is unreasonable. </w:t>
      </w:r>
      <w:r w:rsidRPr="00197AFB">
        <w:rPr>
          <w:rFonts w:ascii="Times New Roman" w:hAnsi="Times New Roman" w:cs="Times New Roman"/>
          <w:sz w:val="24"/>
          <w:szCs w:val="24"/>
          <w:u w:val="single"/>
        </w:rPr>
        <w:t>Id.</w:t>
      </w:r>
      <w:r w:rsidRPr="00197AFB">
        <w:rPr>
          <w:rFonts w:ascii="Times New Roman" w:hAnsi="Times New Roman" w:cs="Times New Roman"/>
          <w:sz w:val="24"/>
          <w:szCs w:val="24"/>
        </w:rPr>
        <w:t xml:space="preserve"> at 478.</w:t>
      </w:r>
    </w:p>
    <w:p w14:paraId="229B1DD9" w14:textId="77777777" w:rsidR="002C34A4" w:rsidRPr="00197AFB"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hAnsi="Times New Roman" w:cs="Times New Roman"/>
          <w:sz w:val="24"/>
          <w:szCs w:val="24"/>
        </w:rPr>
        <w:t xml:space="preserve">Moreover, delay caused by “individual actions by various actors in the immigration system, each of which takes only a reasonable amount of time to accomplish, can nevertheless result in the detention of a removable alien for an unreasonable, and ultimately unconstitutional, period of time.” </w:t>
      </w:r>
      <w:r w:rsidRPr="00197AFB">
        <w:rPr>
          <w:rFonts w:ascii="Times" w:eastAsia="Times New Roman" w:hAnsi="Times" w:cs="Times New Roman"/>
          <w:sz w:val="24"/>
          <w:szCs w:val="24"/>
          <w:u w:val="single"/>
        </w:rPr>
        <w:t>Diop v. ICE/Homeland Sec.</w:t>
      </w:r>
      <w:r w:rsidRPr="00197AFB">
        <w:rPr>
          <w:rFonts w:ascii="Times" w:eastAsia="Times New Roman" w:hAnsi="Times" w:cs="Times New Roman"/>
          <w:sz w:val="24"/>
          <w:szCs w:val="24"/>
        </w:rPr>
        <w:t>, 656 F.3d 221, 223.</w:t>
      </w:r>
    </w:p>
    <w:p w14:paraId="33D4CD4C" w14:textId="77777777" w:rsidR="002C34A4" w:rsidRPr="00197AFB" w:rsidRDefault="002C34A4" w:rsidP="002C34A4">
      <w:pPr>
        <w:pStyle w:val="ListParagraph"/>
        <w:numPr>
          <w:ilvl w:val="0"/>
          <w:numId w:val="32"/>
        </w:numPr>
        <w:spacing w:line="480" w:lineRule="auto"/>
        <w:ind w:left="0" w:firstLine="0"/>
        <w:rPr>
          <w:rFonts w:ascii="Times" w:eastAsia="Times New Roman" w:hAnsi="Times" w:cs="Times New Roman"/>
          <w:sz w:val="24"/>
          <w:szCs w:val="24"/>
        </w:rPr>
      </w:pPr>
      <w:r w:rsidRPr="00197AFB">
        <w:rPr>
          <w:rFonts w:ascii="Times" w:eastAsia="Times New Roman" w:hAnsi="Times" w:cs="Times New Roman"/>
          <w:sz w:val="24"/>
          <w:szCs w:val="24"/>
        </w:rPr>
        <w:lastRenderedPageBreak/>
        <w:t xml:space="preserve">The reasonableness of ongoing detention must also consider “whether an alien challenges aspects of the Government’s case that present real issues, for example: a genuine factual dispute; poor legal reasoning; reliance on a contested legal theory; or the presence of a new legal issue.” It is impermissible to “effectively punish these aliens for choosing to exercise their legal right to challenge the Government’s case against them by rendering the corresponding increase in time of detention as reasonable.” </w:t>
      </w:r>
      <w:r w:rsidRPr="00197AFB">
        <w:rPr>
          <w:rFonts w:ascii="Times" w:eastAsia="Times New Roman" w:hAnsi="Times" w:cs="Times New Roman"/>
          <w:sz w:val="24"/>
          <w:szCs w:val="24"/>
          <w:u w:val="single"/>
        </w:rPr>
        <w:t>Chavez-Alvarez</w:t>
      </w:r>
      <w:r w:rsidRPr="00197AFB">
        <w:rPr>
          <w:rFonts w:ascii="Times" w:eastAsia="Times New Roman" w:hAnsi="Times" w:cs="Times New Roman"/>
          <w:sz w:val="24"/>
          <w:szCs w:val="24"/>
        </w:rPr>
        <w:t>, 783 F.3d at 476.</w:t>
      </w:r>
    </w:p>
    <w:p w14:paraId="05D4B0AF" w14:textId="77777777" w:rsidR="002C34A4" w:rsidRPr="00197AFB" w:rsidRDefault="002C34A4" w:rsidP="002C34A4">
      <w:pPr>
        <w:pStyle w:val="ListParagraph"/>
        <w:numPr>
          <w:ilvl w:val="0"/>
          <w:numId w:val="32"/>
        </w:numPr>
        <w:spacing w:line="480" w:lineRule="auto"/>
        <w:ind w:left="0" w:firstLine="0"/>
        <w:rPr>
          <w:rFonts w:ascii="Times" w:eastAsia="Times New Roman" w:hAnsi="Times" w:cs="Times New Roman"/>
          <w:sz w:val="24"/>
          <w:szCs w:val="24"/>
        </w:rPr>
      </w:pPr>
      <w:r w:rsidRPr="00197AFB">
        <w:rPr>
          <w:rFonts w:ascii="Times" w:eastAsia="Times New Roman" w:hAnsi="Times" w:cs="Times New Roman"/>
          <w:sz w:val="24"/>
          <w:szCs w:val="24"/>
        </w:rPr>
        <w:t xml:space="preserve">The reasonable foreseeability of continued, lengthy litigation is also relevant to whether Mr. </w:t>
      </w:r>
      <w:r>
        <w:rPr>
          <w:rFonts w:ascii="Times" w:eastAsia="Times New Roman" w:hAnsi="Times" w:cs="Times New Roman"/>
          <w:sz w:val="24"/>
          <w:szCs w:val="24"/>
        </w:rPr>
        <w:t>[client]</w:t>
      </w:r>
      <w:r w:rsidRPr="00197AFB">
        <w:rPr>
          <w:rFonts w:ascii="Times" w:eastAsia="Times New Roman" w:hAnsi="Times" w:cs="Times New Roman"/>
          <w:sz w:val="24"/>
          <w:szCs w:val="24"/>
        </w:rPr>
        <w:t xml:space="preserve">’s current detention is constitutional. </w:t>
      </w:r>
      <w:r w:rsidRPr="00197AFB">
        <w:rPr>
          <w:rFonts w:ascii="Times" w:eastAsia="Times New Roman" w:hAnsi="Times" w:cs="Times New Roman"/>
          <w:sz w:val="24"/>
          <w:szCs w:val="24"/>
          <w:u w:val="single"/>
        </w:rPr>
        <w:t>Id.</w:t>
      </w:r>
      <w:r w:rsidRPr="00197AFB">
        <w:rPr>
          <w:rFonts w:ascii="Times" w:eastAsia="Times New Roman" w:hAnsi="Times" w:cs="Times New Roman"/>
          <w:sz w:val="24"/>
          <w:szCs w:val="24"/>
        </w:rPr>
        <w:t xml:space="preserve"> at 477-78 (noting that the government “could have reasonably predicted that [the noncitizen’s] appeal would take a substantial amount of time, making his already lengthy detention considerably longer”). </w:t>
      </w:r>
    </w:p>
    <w:p w14:paraId="4B8AD568" w14:textId="77777777" w:rsidR="002C34A4" w:rsidRPr="00197AFB" w:rsidRDefault="002C34A4" w:rsidP="002C34A4">
      <w:pPr>
        <w:pStyle w:val="ListParagraph"/>
        <w:numPr>
          <w:ilvl w:val="0"/>
          <w:numId w:val="32"/>
        </w:numPr>
        <w:spacing w:line="480" w:lineRule="auto"/>
        <w:ind w:left="0" w:firstLine="0"/>
        <w:rPr>
          <w:rFonts w:ascii="Times" w:eastAsia="Times New Roman" w:hAnsi="Times" w:cs="Times New Roman"/>
          <w:sz w:val="24"/>
          <w:szCs w:val="24"/>
        </w:rPr>
      </w:pPr>
      <w:r w:rsidRPr="00197AFB">
        <w:rPr>
          <w:rFonts w:ascii="Times" w:eastAsia="Times New Roman" w:hAnsi="Times" w:cs="Times New Roman"/>
          <w:sz w:val="24"/>
          <w:szCs w:val="24"/>
        </w:rPr>
        <w:t xml:space="preserve">Finally, this Court “cannot ignore the conditions of confinement.” </w:t>
      </w:r>
      <w:r w:rsidRPr="00197AFB">
        <w:rPr>
          <w:rFonts w:ascii="Times" w:eastAsia="Times New Roman" w:hAnsi="Times" w:cs="Times New Roman"/>
          <w:sz w:val="24"/>
          <w:szCs w:val="24"/>
          <w:u w:val="single"/>
        </w:rPr>
        <w:t>Id.</w:t>
      </w:r>
      <w:r w:rsidRPr="00197AFB">
        <w:rPr>
          <w:rFonts w:ascii="Times" w:eastAsia="Times New Roman" w:hAnsi="Times" w:cs="Times New Roman"/>
          <w:sz w:val="24"/>
          <w:szCs w:val="24"/>
        </w:rPr>
        <w:t xml:space="preserve"> at 478. Where immigration detention takes place in a penal setting, prolonged detention is more likely to be unconstit</w:t>
      </w:r>
      <w:r>
        <w:rPr>
          <w:rFonts w:ascii="Times" w:eastAsia="Times New Roman" w:hAnsi="Times" w:cs="Times New Roman"/>
          <w:sz w:val="24"/>
          <w:szCs w:val="24"/>
        </w:rPr>
        <w:t>ut</w:t>
      </w:r>
      <w:r w:rsidRPr="00197AFB">
        <w:rPr>
          <w:rFonts w:ascii="Times" w:eastAsia="Times New Roman" w:hAnsi="Times" w:cs="Times New Roman"/>
          <w:sz w:val="24"/>
          <w:szCs w:val="24"/>
        </w:rPr>
        <w:t xml:space="preserve">ional. “Merely calling a confinement ‘civil detention’ does not, of itself, meaningfully differentiate it from penal measures. As the length of the detention grows, the weight given to this aspect of [a noncitizen’s] detention increases.” </w:t>
      </w:r>
      <w:r w:rsidRPr="00197AFB">
        <w:rPr>
          <w:rFonts w:ascii="Times" w:eastAsia="Times New Roman" w:hAnsi="Times" w:cs="Times New Roman"/>
          <w:sz w:val="24"/>
          <w:szCs w:val="24"/>
          <w:u w:val="single"/>
        </w:rPr>
        <w:t>Id.</w:t>
      </w:r>
      <w:r w:rsidRPr="00197AFB">
        <w:rPr>
          <w:rFonts w:ascii="Times" w:eastAsia="Times New Roman" w:hAnsi="Times" w:cs="Times New Roman"/>
          <w:sz w:val="24"/>
          <w:szCs w:val="24"/>
        </w:rPr>
        <w:t xml:space="preserve"> (internal citations omitted).</w:t>
      </w:r>
    </w:p>
    <w:p w14:paraId="2829DA96" w14:textId="77777777" w:rsidR="002C34A4" w:rsidRPr="00197AFB" w:rsidRDefault="002C34A4" w:rsidP="002C34A4">
      <w:pPr>
        <w:pStyle w:val="ListParagraph"/>
        <w:numPr>
          <w:ilvl w:val="0"/>
          <w:numId w:val="32"/>
        </w:numPr>
        <w:spacing w:line="480" w:lineRule="auto"/>
        <w:ind w:left="0" w:firstLine="0"/>
        <w:rPr>
          <w:rFonts w:ascii="Times" w:eastAsia="Times New Roman" w:hAnsi="Times" w:cs="Times New Roman"/>
          <w:sz w:val="24"/>
          <w:szCs w:val="24"/>
        </w:rPr>
      </w:pPr>
      <w:r w:rsidRPr="00197AFB">
        <w:rPr>
          <w:rFonts w:ascii="Times" w:eastAsia="Times New Roman" w:hAnsi="Times" w:cs="Times New Roman"/>
          <w:sz w:val="24"/>
          <w:szCs w:val="24"/>
        </w:rPr>
        <w:t xml:space="preserve"> </w:t>
      </w:r>
      <w:r>
        <w:rPr>
          <w:rFonts w:ascii="Times" w:eastAsia="Times New Roman" w:hAnsi="Times" w:cs="Times New Roman"/>
          <w:sz w:val="24"/>
          <w:szCs w:val="24"/>
        </w:rPr>
        <w:t>Petitioner</w:t>
      </w:r>
      <w:r w:rsidRPr="00197AFB">
        <w:rPr>
          <w:rFonts w:ascii="Times" w:eastAsia="Times New Roman" w:hAnsi="Times" w:cs="Times New Roman"/>
          <w:sz w:val="24"/>
          <w:szCs w:val="24"/>
        </w:rPr>
        <w:t xml:space="preserve">’s prolonged detention raises all of these concerns. </w:t>
      </w:r>
      <w:r w:rsidRPr="00946BD9">
        <w:rPr>
          <w:rFonts w:ascii="Times" w:eastAsia="Times New Roman" w:hAnsi="Times" w:cs="Times New Roman"/>
          <w:sz w:val="24"/>
          <w:szCs w:val="24"/>
          <w:highlight w:val="yellow"/>
        </w:rPr>
        <w:t>[Apply facts to law.]</w:t>
      </w:r>
    </w:p>
    <w:p w14:paraId="68B3843B" w14:textId="35AB72BD" w:rsidR="002C34A4" w:rsidRPr="00197AFB" w:rsidRDefault="002C34A4" w:rsidP="002C34A4">
      <w:pPr>
        <w:pStyle w:val="ListParagraph"/>
        <w:numPr>
          <w:ilvl w:val="0"/>
          <w:numId w:val="32"/>
        </w:numPr>
        <w:spacing w:line="480" w:lineRule="auto"/>
        <w:ind w:left="0" w:firstLine="0"/>
        <w:rPr>
          <w:rFonts w:ascii="Times" w:eastAsia="Times New Roman" w:hAnsi="Times" w:cs="Times New Roman"/>
          <w:sz w:val="24"/>
          <w:szCs w:val="24"/>
        </w:rPr>
      </w:pPr>
      <w:r w:rsidRPr="00197AFB">
        <w:rPr>
          <w:rFonts w:ascii="Times" w:eastAsia="Times New Roman" w:hAnsi="Times" w:cs="Times New Roman"/>
          <w:sz w:val="24"/>
          <w:szCs w:val="24"/>
        </w:rPr>
        <w:t xml:space="preserve">Under either a bright-line rule or the facts and circumstances of this case, </w:t>
      </w:r>
      <w:r w:rsidR="00166C9B">
        <w:rPr>
          <w:rFonts w:ascii="Times" w:eastAsia="Times New Roman" w:hAnsi="Times" w:cs="Times New Roman"/>
          <w:sz w:val="24"/>
          <w:szCs w:val="24"/>
        </w:rPr>
        <w:t>petitioner’s</w:t>
      </w:r>
      <w:r w:rsidRPr="00197AFB">
        <w:rPr>
          <w:rFonts w:ascii="Times" w:eastAsia="Times New Roman" w:hAnsi="Times" w:cs="Times New Roman"/>
          <w:sz w:val="24"/>
          <w:szCs w:val="24"/>
        </w:rPr>
        <w:t xml:space="preserve"> continued detention is unreasonably prolonged. </w:t>
      </w:r>
      <w:r w:rsidRPr="00197AFB">
        <w:rPr>
          <w:sz w:val="24"/>
          <w:szCs w:val="24"/>
        </w:rPr>
        <w:t xml:space="preserve">This Court should therefore conduct a bond hearing at which </w:t>
      </w:r>
      <w:r w:rsidRPr="00197AFB">
        <w:rPr>
          <w:rFonts w:ascii="Times New Roman" w:eastAsia="Times New Roman" w:hAnsi="Times New Roman" w:cs="Times New Roman"/>
          <w:sz w:val="24"/>
          <w:szCs w:val="24"/>
        </w:rPr>
        <w:t xml:space="preserve">(1) the government bears the burden of proving flight risk and dangerousness by clear and convincing evidence and (2) the Court considers alternatives to detention that could mitigate flight risk. </w:t>
      </w:r>
      <w:r w:rsidRPr="00197AFB">
        <w:rPr>
          <w:rFonts w:ascii="Times New Roman" w:eastAsia="Times New Roman" w:hAnsi="Times New Roman" w:cs="Times New Roman"/>
          <w:sz w:val="24"/>
          <w:szCs w:val="24"/>
          <w:u w:val="single"/>
        </w:rPr>
        <w:t>See</w:t>
      </w:r>
      <w:r w:rsidRPr="00197AFB">
        <w:rPr>
          <w:rFonts w:ascii="Times New Roman" w:eastAsia="Times New Roman" w:hAnsi="Times New Roman" w:cs="Times New Roman"/>
          <w:sz w:val="24"/>
          <w:szCs w:val="24"/>
        </w:rPr>
        <w:t xml:space="preserve"> </w:t>
      </w:r>
      <w:r w:rsidRPr="00197AFB">
        <w:rPr>
          <w:rFonts w:ascii="Times New Roman" w:hAnsi="Times New Roman" w:cs="Times New Roman"/>
          <w:sz w:val="24"/>
          <w:szCs w:val="24"/>
          <w:u w:val="single"/>
        </w:rPr>
        <w:t>Leslie v. Attorney Gen. of U.S.</w:t>
      </w:r>
      <w:r w:rsidRPr="00197AFB">
        <w:rPr>
          <w:rFonts w:ascii="Times New Roman" w:hAnsi="Times New Roman" w:cs="Times New Roman"/>
          <w:sz w:val="24"/>
          <w:szCs w:val="24"/>
        </w:rPr>
        <w:t>, 678 F.3d 265, 271 (3d Cir. 2012) (stating that “Leslie’s appeal will be remanded to the District Court with instructions to conduct an individualized bond hearing as required by </w:t>
      </w:r>
      <w:hyperlink r:id="rId8">
        <w:r w:rsidRPr="00197AFB">
          <w:rPr>
            <w:rFonts w:ascii="Times New Roman" w:hAnsi="Times New Roman" w:cs="Times New Roman"/>
            <w:sz w:val="24"/>
            <w:szCs w:val="24"/>
            <w:u w:val="single"/>
          </w:rPr>
          <w:t>Diop</w:t>
        </w:r>
      </w:hyperlink>
      <w:r w:rsidRPr="00197AFB">
        <w:rPr>
          <w:rFonts w:ascii="Times New Roman" w:hAnsi="Times New Roman" w:cs="Times New Roman"/>
          <w:sz w:val="24"/>
          <w:szCs w:val="24"/>
        </w:rPr>
        <w:t xml:space="preserve">”); </w:t>
      </w:r>
      <w:r w:rsidRPr="00197AFB">
        <w:rPr>
          <w:rFonts w:eastAsia="Times New Roman" w:cs="Times New Roman"/>
          <w:sz w:val="24"/>
          <w:szCs w:val="24"/>
          <w:u w:val="single"/>
        </w:rPr>
        <w:t>Rodriguez</w:t>
      </w:r>
      <w:r w:rsidRPr="00197AFB">
        <w:rPr>
          <w:rFonts w:eastAsia="Times New Roman" w:cs="Times New Roman"/>
          <w:sz w:val="24"/>
          <w:szCs w:val="24"/>
        </w:rPr>
        <w:t xml:space="preserve">, 804 F.3d 1060, 1086-89 </w:t>
      </w:r>
      <w:r w:rsidRPr="00197AFB">
        <w:rPr>
          <w:rFonts w:eastAsia="Times New Roman" w:cs="Times New Roman"/>
          <w:sz w:val="24"/>
          <w:szCs w:val="24"/>
        </w:rPr>
        <w:lastRenderedPageBreak/>
        <w:t>(outlining constitutionally adequate procedural protections at a prolonged detention bond hearing). In the alternative, the Court should order an immigration judge to conduct the bond hearing.</w:t>
      </w:r>
    </w:p>
    <w:p w14:paraId="49E4C02C" w14:textId="77777777" w:rsidR="002C34A4" w:rsidRPr="00197AFB" w:rsidRDefault="002C34A4" w:rsidP="002C34A4">
      <w:pPr>
        <w:spacing w:line="480" w:lineRule="auto"/>
        <w:contextualSpacing/>
        <w:jc w:val="center"/>
        <w:rPr>
          <w:rFonts w:cs="Times New Roman"/>
          <w:b/>
          <w:sz w:val="24"/>
          <w:szCs w:val="24"/>
        </w:rPr>
      </w:pPr>
      <w:r w:rsidRPr="00197AFB">
        <w:rPr>
          <w:rFonts w:eastAsia="Times New Roman" w:cs="Times New Roman"/>
          <w:b/>
          <w:bCs/>
          <w:sz w:val="24"/>
          <w:szCs w:val="24"/>
        </w:rPr>
        <w:t xml:space="preserve">THIRD CLAIM FOR RELIEF </w:t>
      </w:r>
    </w:p>
    <w:p w14:paraId="67AD31AC" w14:textId="77777777" w:rsidR="002C34A4" w:rsidRPr="00197AFB" w:rsidRDefault="002C34A4" w:rsidP="002C34A4">
      <w:pPr>
        <w:spacing w:line="240" w:lineRule="auto"/>
        <w:contextualSpacing/>
        <w:jc w:val="center"/>
        <w:rPr>
          <w:sz w:val="24"/>
          <w:szCs w:val="24"/>
        </w:rPr>
      </w:pPr>
      <w:r w:rsidRPr="00197AFB">
        <w:rPr>
          <w:rFonts w:eastAsia="Times New Roman" w:cs="Times New Roman"/>
          <w:b/>
          <w:bCs/>
          <w:sz w:val="24"/>
          <w:szCs w:val="24"/>
        </w:rPr>
        <w:t xml:space="preserve">VIOLATION OF THE IMMIGRATION AND NATIONALITY ACT § 236(a), 8 U.S.C. § 1226(a)  </w:t>
      </w:r>
    </w:p>
    <w:p w14:paraId="7A577D94" w14:textId="77777777" w:rsidR="002C34A4" w:rsidRPr="00197AFB"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hAnsi="Times New Roman" w:cs="Times New Roman"/>
          <w:sz w:val="24"/>
          <w:szCs w:val="24"/>
        </w:rPr>
        <w:t>Petitioner re-alleges and incorporates by reference the paragraphs above.</w:t>
      </w:r>
    </w:p>
    <w:p w14:paraId="09799EC4" w14:textId="77777777" w:rsidR="002C34A4" w:rsidRPr="00197AFB"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hAnsi="Times New Roman" w:cs="Times New Roman"/>
          <w:sz w:val="24"/>
          <w:szCs w:val="24"/>
        </w:rPr>
        <w:t xml:space="preserve">As a matter of statutory interpretation, this Court should </w:t>
      </w:r>
      <w:r>
        <w:rPr>
          <w:rFonts w:ascii="Times New Roman" w:hAnsi="Times New Roman" w:cs="Times New Roman"/>
          <w:sz w:val="24"/>
          <w:szCs w:val="24"/>
        </w:rPr>
        <w:t>hold that</w:t>
      </w:r>
      <w:r w:rsidRPr="00197AFB">
        <w:rPr>
          <w:rFonts w:ascii="Times New Roman" w:hAnsi="Times New Roman" w:cs="Times New Roman"/>
          <w:sz w:val="24"/>
          <w:szCs w:val="24"/>
        </w:rPr>
        <w:t xml:space="preserve"> § 1225(b) </w:t>
      </w:r>
      <w:r>
        <w:rPr>
          <w:rFonts w:ascii="Times New Roman" w:hAnsi="Times New Roman" w:cs="Times New Roman"/>
          <w:sz w:val="24"/>
          <w:szCs w:val="24"/>
        </w:rPr>
        <w:t>is</w:t>
      </w:r>
      <w:r w:rsidRPr="00197AFB">
        <w:rPr>
          <w:rFonts w:ascii="Times New Roman" w:hAnsi="Times New Roman" w:cs="Times New Roman"/>
          <w:sz w:val="24"/>
          <w:szCs w:val="24"/>
        </w:rPr>
        <w:t xml:space="preserve"> limited to the </w:t>
      </w:r>
      <w:r w:rsidRPr="00197AFB">
        <w:rPr>
          <w:rFonts w:cs="Times New Roman"/>
          <w:sz w:val="24"/>
          <w:szCs w:val="24"/>
        </w:rPr>
        <w:t>period between a noncitizen’s arrest as an arriving alien and the commencement of her removal proceedings before an immigration judge. Such an interpre</w:t>
      </w:r>
      <w:r>
        <w:rPr>
          <w:rFonts w:cs="Times New Roman"/>
          <w:sz w:val="24"/>
          <w:szCs w:val="24"/>
        </w:rPr>
        <w:t xml:space="preserve">tation is supported by the text, </w:t>
      </w:r>
      <w:r w:rsidRPr="00197AFB">
        <w:rPr>
          <w:rFonts w:cs="Times New Roman"/>
          <w:sz w:val="24"/>
          <w:szCs w:val="24"/>
        </w:rPr>
        <w:t>purpose</w:t>
      </w:r>
      <w:r>
        <w:rPr>
          <w:rFonts w:cs="Times New Roman"/>
          <w:sz w:val="24"/>
          <w:szCs w:val="24"/>
        </w:rPr>
        <w:t>, and overall construction of</w:t>
      </w:r>
      <w:r w:rsidRPr="00197AFB">
        <w:rPr>
          <w:rFonts w:cs="Times New Roman"/>
          <w:sz w:val="24"/>
          <w:szCs w:val="24"/>
        </w:rPr>
        <w:t xml:space="preserve"> the statute, the doctrine of constitutional avoidance, and the government’s own practice of limiting mandatory detention of other recent</w:t>
      </w:r>
      <w:r>
        <w:rPr>
          <w:rFonts w:cs="Times New Roman"/>
          <w:sz w:val="24"/>
          <w:szCs w:val="24"/>
        </w:rPr>
        <w:t>ly</w:t>
      </w:r>
      <w:r w:rsidRPr="00197AFB">
        <w:rPr>
          <w:rFonts w:cs="Times New Roman"/>
          <w:sz w:val="24"/>
          <w:szCs w:val="24"/>
        </w:rPr>
        <w:t xml:space="preserve"> arriv</w:t>
      </w:r>
      <w:r>
        <w:rPr>
          <w:rFonts w:cs="Times New Roman"/>
          <w:sz w:val="24"/>
          <w:szCs w:val="24"/>
        </w:rPr>
        <w:t>ed noncitizens</w:t>
      </w:r>
      <w:r w:rsidRPr="00197AFB">
        <w:rPr>
          <w:rFonts w:cs="Times New Roman"/>
          <w:sz w:val="24"/>
          <w:szCs w:val="24"/>
        </w:rPr>
        <w:t xml:space="preserve"> to the period before removal proceedings commence. The Court should therefore find that </w:t>
      </w:r>
      <w:r>
        <w:rPr>
          <w:rFonts w:cs="Times New Roman"/>
          <w:sz w:val="24"/>
          <w:szCs w:val="24"/>
        </w:rPr>
        <w:t>petitioner’s</w:t>
      </w:r>
      <w:r w:rsidRPr="00197AFB">
        <w:rPr>
          <w:rFonts w:cs="Times New Roman"/>
          <w:sz w:val="24"/>
          <w:szCs w:val="24"/>
        </w:rPr>
        <w:t xml:space="preserve"> detention pending removal proceedings is authorized not by </w:t>
      </w:r>
      <w:r w:rsidRPr="00197AFB">
        <w:rPr>
          <w:rFonts w:ascii="Times New Roman" w:hAnsi="Times New Roman" w:cs="Times New Roman"/>
          <w:sz w:val="24"/>
          <w:szCs w:val="24"/>
        </w:rPr>
        <w:t xml:space="preserve">§ </w:t>
      </w:r>
      <w:r w:rsidRPr="00197AFB">
        <w:rPr>
          <w:rFonts w:cs="Times New Roman"/>
          <w:sz w:val="24"/>
          <w:szCs w:val="24"/>
        </w:rPr>
        <w:t xml:space="preserve">1225(b), but by the discretionary detention statute at </w:t>
      </w:r>
      <w:r w:rsidRPr="00197AFB">
        <w:rPr>
          <w:rFonts w:ascii="Times New Roman" w:hAnsi="Times New Roman" w:cs="Times New Roman"/>
          <w:sz w:val="24"/>
          <w:szCs w:val="24"/>
        </w:rPr>
        <w:t xml:space="preserve">§ </w:t>
      </w:r>
      <w:r w:rsidRPr="00197AFB">
        <w:rPr>
          <w:rFonts w:cs="Times New Roman"/>
          <w:sz w:val="24"/>
          <w:szCs w:val="24"/>
        </w:rPr>
        <w:t xml:space="preserve">1226(a), entitling </w:t>
      </w:r>
      <w:r>
        <w:rPr>
          <w:rFonts w:cs="Times New Roman"/>
          <w:sz w:val="24"/>
          <w:szCs w:val="24"/>
        </w:rPr>
        <w:t>petitioner</w:t>
      </w:r>
      <w:r w:rsidRPr="00197AFB">
        <w:rPr>
          <w:rFonts w:cs="Times New Roman"/>
          <w:sz w:val="24"/>
          <w:szCs w:val="24"/>
        </w:rPr>
        <w:t xml:space="preserve"> to an immediate bond hearing before an immigration judge.</w:t>
      </w:r>
    </w:p>
    <w:p w14:paraId="19CC6C65" w14:textId="77777777" w:rsidR="002C34A4" w:rsidRPr="00197AFB"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sidRPr="00197AFB">
        <w:rPr>
          <w:rFonts w:cs="Times New Roman"/>
          <w:sz w:val="24"/>
          <w:szCs w:val="24"/>
        </w:rPr>
        <w:t xml:space="preserve">The plain text of </w:t>
      </w:r>
      <w:r w:rsidRPr="00197AFB">
        <w:rPr>
          <w:rFonts w:ascii="Times New Roman" w:hAnsi="Times New Roman" w:cs="Times New Roman"/>
          <w:sz w:val="24"/>
          <w:szCs w:val="24"/>
        </w:rPr>
        <w:t xml:space="preserve">§ </w:t>
      </w:r>
      <w:r w:rsidRPr="00197AFB">
        <w:rPr>
          <w:rFonts w:cs="Times New Roman"/>
          <w:sz w:val="24"/>
          <w:szCs w:val="24"/>
        </w:rPr>
        <w:t xml:space="preserve">1225(b) mandates detention of arriving aliens only for the period between their arrest and before they are referred to an immigration judge for removal proceedings. The two subsections of </w:t>
      </w:r>
      <w:r w:rsidRPr="00197AFB">
        <w:rPr>
          <w:rFonts w:ascii="Times New Roman" w:hAnsi="Times New Roman" w:cs="Times New Roman"/>
          <w:sz w:val="24"/>
          <w:szCs w:val="24"/>
        </w:rPr>
        <w:t xml:space="preserve">§ </w:t>
      </w:r>
      <w:r w:rsidRPr="00197AFB">
        <w:rPr>
          <w:rFonts w:cs="Times New Roman"/>
          <w:sz w:val="24"/>
          <w:szCs w:val="24"/>
        </w:rPr>
        <w:t>1225(b) at issue here permit detention only “</w:t>
      </w:r>
      <w:r w:rsidRPr="00197AFB">
        <w:rPr>
          <w:rFonts w:cs="Times New Roman"/>
          <w:i/>
          <w:sz w:val="24"/>
          <w:szCs w:val="24"/>
        </w:rPr>
        <w:t>for</w:t>
      </w:r>
      <w:r w:rsidRPr="00197AFB">
        <w:rPr>
          <w:rFonts w:cs="Times New Roman"/>
          <w:sz w:val="24"/>
          <w:szCs w:val="24"/>
        </w:rPr>
        <w:t xml:space="preserve"> further consideration of the application for asylum,” </w:t>
      </w:r>
      <w:r>
        <w:rPr>
          <w:rFonts w:cs="Times New Roman"/>
          <w:sz w:val="24"/>
          <w:szCs w:val="24"/>
        </w:rPr>
        <w:t xml:space="preserve">8 U.S.C. </w:t>
      </w:r>
      <w:r w:rsidRPr="00197AFB">
        <w:rPr>
          <w:rFonts w:eastAsia="Times New Roman" w:cs="Times New Roman"/>
          <w:sz w:val="24"/>
          <w:szCs w:val="24"/>
        </w:rPr>
        <w:t>§ 1225(b)(1)(B)(ii)</w:t>
      </w:r>
      <w:r w:rsidRPr="00197AFB">
        <w:rPr>
          <w:rFonts w:cs="Times New Roman"/>
          <w:sz w:val="24"/>
          <w:szCs w:val="24"/>
        </w:rPr>
        <w:t xml:space="preserve"> and “</w:t>
      </w:r>
      <w:r w:rsidRPr="00197AFB">
        <w:rPr>
          <w:rFonts w:cs="Times New Roman"/>
          <w:i/>
          <w:sz w:val="24"/>
          <w:szCs w:val="24"/>
        </w:rPr>
        <w:t>for</w:t>
      </w:r>
      <w:r w:rsidRPr="00197AFB">
        <w:rPr>
          <w:rFonts w:cs="Times New Roman"/>
          <w:sz w:val="24"/>
          <w:szCs w:val="24"/>
        </w:rPr>
        <w:t xml:space="preserve"> a proceeding</w:t>
      </w:r>
      <w:r>
        <w:rPr>
          <w:rFonts w:cs="Times New Roman"/>
          <w:sz w:val="24"/>
          <w:szCs w:val="24"/>
        </w:rPr>
        <w:t xml:space="preserve"> </w:t>
      </w:r>
      <w:r w:rsidRPr="00197AFB">
        <w:rPr>
          <w:rFonts w:cs="Times New Roman"/>
          <w:sz w:val="24"/>
          <w:szCs w:val="24"/>
        </w:rPr>
        <w:t xml:space="preserve">. . . .” </w:t>
      </w:r>
      <w:r>
        <w:rPr>
          <w:rFonts w:cs="Times New Roman"/>
          <w:sz w:val="24"/>
          <w:szCs w:val="24"/>
          <w:u w:val="single"/>
        </w:rPr>
        <w:t>Id.</w:t>
      </w:r>
      <w:r>
        <w:rPr>
          <w:rFonts w:cs="Times New Roman"/>
          <w:sz w:val="24"/>
          <w:szCs w:val="24"/>
        </w:rPr>
        <w:t xml:space="preserve"> </w:t>
      </w:r>
      <w:r>
        <w:rPr>
          <w:rFonts w:eastAsia="Times New Roman" w:cs="Times New Roman"/>
          <w:sz w:val="24"/>
          <w:szCs w:val="24"/>
        </w:rPr>
        <w:t xml:space="preserve">§ 1225(b)(2)(a). </w:t>
      </w:r>
      <w:r w:rsidRPr="00197AFB">
        <w:rPr>
          <w:rFonts w:cs="Times New Roman"/>
          <w:sz w:val="24"/>
          <w:szCs w:val="24"/>
        </w:rPr>
        <w:t xml:space="preserve">Neither provision governs detention beyond that point, much less pending completion of removal proceedings. </w:t>
      </w:r>
      <w:r w:rsidRPr="00197AFB">
        <w:rPr>
          <w:rFonts w:cs="Times New Roman"/>
          <w:sz w:val="24"/>
          <w:szCs w:val="24"/>
          <w:u w:val="single"/>
        </w:rPr>
        <w:t>See</w:t>
      </w:r>
      <w:r w:rsidRPr="00197AFB">
        <w:rPr>
          <w:rFonts w:cs="Times New Roman"/>
          <w:sz w:val="24"/>
          <w:szCs w:val="24"/>
        </w:rPr>
        <w:t xml:space="preserve"> </w:t>
      </w:r>
      <w:r w:rsidRPr="00197AFB">
        <w:rPr>
          <w:rFonts w:cs="Times New Roman"/>
          <w:sz w:val="24"/>
          <w:szCs w:val="24"/>
          <w:u w:val="single"/>
        </w:rPr>
        <w:t>Webster’s Third New International Dictionary</w:t>
      </w:r>
      <w:r w:rsidRPr="00197AFB">
        <w:rPr>
          <w:rFonts w:cs="Times New Roman"/>
          <w:i/>
          <w:sz w:val="24"/>
          <w:szCs w:val="24"/>
        </w:rPr>
        <w:t xml:space="preserve"> </w:t>
      </w:r>
      <w:r w:rsidRPr="00197AFB">
        <w:rPr>
          <w:rFonts w:cs="Times New Roman"/>
          <w:sz w:val="24"/>
          <w:szCs w:val="24"/>
        </w:rPr>
        <w:t xml:space="preserve">886 (1993) (defining “for” to mean “as a preparation toward . . . or in view of”). Pending </w:t>
      </w:r>
      <w:r w:rsidRPr="00197AFB">
        <w:rPr>
          <w:rFonts w:cs="Times New Roman"/>
          <w:sz w:val="24"/>
          <w:szCs w:val="24"/>
        </w:rPr>
        <w:lastRenderedPageBreak/>
        <w:t xml:space="preserve">removal proceedings, detention is authorized by section 1226(a), entitling Mr. </w:t>
      </w:r>
      <w:r>
        <w:rPr>
          <w:rFonts w:cs="Times New Roman"/>
          <w:sz w:val="24"/>
          <w:szCs w:val="24"/>
        </w:rPr>
        <w:t>[client]</w:t>
      </w:r>
      <w:r w:rsidRPr="00197AFB">
        <w:rPr>
          <w:rFonts w:cs="Times New Roman"/>
          <w:sz w:val="24"/>
          <w:szCs w:val="24"/>
        </w:rPr>
        <w:t xml:space="preserve"> to a bond hearing.</w:t>
      </w:r>
      <w:r w:rsidRPr="00197AFB">
        <w:rPr>
          <w:rFonts w:ascii="Times" w:eastAsia="Times New Roman" w:hAnsi="Times" w:cs="Times New Roman"/>
          <w:sz w:val="24"/>
          <w:szCs w:val="24"/>
        </w:rPr>
        <w:t xml:space="preserve"> </w:t>
      </w:r>
      <w:r w:rsidRPr="00FB51FB">
        <w:rPr>
          <w:rFonts w:ascii="Times" w:eastAsia="Times New Roman" w:hAnsi="Times" w:cs="Times New Roman"/>
          <w:sz w:val="24"/>
          <w:szCs w:val="24"/>
          <w:u w:val="single"/>
        </w:rPr>
        <w:t>See</w:t>
      </w:r>
      <w:r>
        <w:rPr>
          <w:rFonts w:ascii="Times" w:eastAsia="Times New Roman" w:hAnsi="Times" w:cs="Times New Roman"/>
          <w:sz w:val="24"/>
          <w:szCs w:val="24"/>
        </w:rPr>
        <w:t xml:space="preserve"> </w:t>
      </w:r>
      <w:r w:rsidRPr="00FB51FB">
        <w:rPr>
          <w:rFonts w:ascii="Times" w:eastAsia="Times New Roman" w:hAnsi="Times" w:cs="Times New Roman"/>
          <w:sz w:val="24"/>
          <w:szCs w:val="24"/>
          <w:u w:val="single"/>
        </w:rPr>
        <w:t>Matter</w:t>
      </w:r>
      <w:r w:rsidRPr="00197AFB">
        <w:rPr>
          <w:rFonts w:ascii="Times" w:eastAsia="Times New Roman" w:hAnsi="Times" w:cs="Times New Roman"/>
          <w:sz w:val="24"/>
          <w:szCs w:val="24"/>
          <w:u w:val="single"/>
        </w:rPr>
        <w:t xml:space="preserve"> of X-K-</w:t>
      </w:r>
      <w:r w:rsidRPr="00197AFB">
        <w:rPr>
          <w:rFonts w:ascii="Times" w:eastAsia="Times New Roman" w:hAnsi="Times" w:cs="Times New Roman"/>
          <w:sz w:val="24"/>
          <w:szCs w:val="24"/>
        </w:rPr>
        <w:t xml:space="preserve">, 23 I. &amp; N. Dec. </w:t>
      </w:r>
      <w:r>
        <w:rPr>
          <w:rFonts w:ascii="Times" w:eastAsia="Times New Roman" w:hAnsi="Times" w:cs="Times New Roman"/>
          <w:sz w:val="24"/>
          <w:szCs w:val="24"/>
        </w:rPr>
        <w:t>at</w:t>
      </w:r>
      <w:r w:rsidRPr="00197AFB">
        <w:rPr>
          <w:rFonts w:ascii="Times" w:eastAsia="Times New Roman" w:hAnsi="Times" w:cs="Times New Roman"/>
          <w:sz w:val="24"/>
          <w:szCs w:val="24"/>
        </w:rPr>
        <w:t xml:space="preserve"> 731 </w:t>
      </w:r>
      <w:r w:rsidRPr="00197AFB">
        <w:rPr>
          <w:rFonts w:cs="Times New Roman"/>
          <w:sz w:val="24"/>
          <w:szCs w:val="24"/>
        </w:rPr>
        <w:t xml:space="preserve">(“Immigration Judges have custody jurisdiction over aliens in </w:t>
      </w:r>
      <w:r>
        <w:rPr>
          <w:rFonts w:cs="Times New Roman"/>
          <w:sz w:val="24"/>
          <w:szCs w:val="24"/>
        </w:rPr>
        <w:t>. . .</w:t>
      </w:r>
      <w:r w:rsidRPr="00197AFB">
        <w:rPr>
          <w:rFonts w:cs="Times New Roman"/>
          <w:sz w:val="24"/>
          <w:szCs w:val="24"/>
        </w:rPr>
        <w:t xml:space="preserve"> removal proceedings . . . .”)</w:t>
      </w:r>
    </w:p>
    <w:p w14:paraId="52671217" w14:textId="77777777" w:rsidR="002C34A4" w:rsidRPr="00B85C16" w:rsidRDefault="002C34A4" w:rsidP="002C34A4">
      <w:pPr>
        <w:pStyle w:val="ListParagraph"/>
        <w:numPr>
          <w:ilvl w:val="0"/>
          <w:numId w:val="32"/>
        </w:numPr>
        <w:spacing w:line="480" w:lineRule="auto"/>
        <w:ind w:left="0" w:firstLine="0"/>
        <w:rPr>
          <w:rFonts w:eastAsia="Times New Roman" w:cs="Times New Roman"/>
          <w:sz w:val="24"/>
          <w:szCs w:val="24"/>
        </w:rPr>
      </w:pPr>
      <w:r>
        <w:rPr>
          <w:rFonts w:cs="Times New Roman"/>
          <w:sz w:val="24"/>
          <w:szCs w:val="24"/>
        </w:rPr>
        <w:t>W</w:t>
      </w:r>
      <w:r w:rsidRPr="00197AFB">
        <w:rPr>
          <w:rFonts w:cs="Times New Roman"/>
          <w:sz w:val="24"/>
          <w:szCs w:val="24"/>
        </w:rPr>
        <w:t xml:space="preserve">here Congress intended to authorize detention pending completion of an administrative proceeding, it </w:t>
      </w:r>
      <w:r>
        <w:rPr>
          <w:rFonts w:cs="Times New Roman"/>
          <w:sz w:val="24"/>
          <w:szCs w:val="24"/>
        </w:rPr>
        <w:t xml:space="preserve">unambiguously </w:t>
      </w:r>
      <w:r w:rsidRPr="00197AFB">
        <w:rPr>
          <w:rFonts w:cs="Times New Roman"/>
          <w:sz w:val="24"/>
          <w:szCs w:val="24"/>
        </w:rPr>
        <w:t xml:space="preserve">said so. </w:t>
      </w:r>
      <w:r w:rsidRPr="00197AFB">
        <w:rPr>
          <w:rFonts w:cs="Times New Roman"/>
          <w:sz w:val="24"/>
          <w:szCs w:val="24"/>
          <w:u w:val="single"/>
        </w:rPr>
        <w:t>See</w:t>
      </w:r>
      <w:r w:rsidRPr="00197AFB">
        <w:rPr>
          <w:rFonts w:cs="Times New Roman"/>
          <w:sz w:val="24"/>
          <w:szCs w:val="24"/>
        </w:rPr>
        <w:t xml:space="preserve"> 8 U.S.C. </w:t>
      </w:r>
      <w:r w:rsidRPr="00197AFB">
        <w:rPr>
          <w:rFonts w:eastAsia="Times New Roman" w:cs="Times New Roman"/>
          <w:sz w:val="24"/>
          <w:szCs w:val="24"/>
        </w:rPr>
        <w:t xml:space="preserve">§ 1225(b)(1)(B)(iii)(IV) (stating that a noncitizen “shall be detained </w:t>
      </w:r>
      <w:r w:rsidRPr="00197AFB">
        <w:rPr>
          <w:rFonts w:eastAsia="Times New Roman" w:cs="Times New Roman"/>
          <w:i/>
          <w:sz w:val="24"/>
          <w:szCs w:val="24"/>
        </w:rPr>
        <w:t>pending</w:t>
      </w:r>
      <w:r w:rsidRPr="00197AFB">
        <w:rPr>
          <w:rFonts w:eastAsia="Times New Roman" w:cs="Times New Roman"/>
          <w:sz w:val="24"/>
          <w:szCs w:val="24"/>
        </w:rPr>
        <w:t xml:space="preserve"> a final determination of credible fear of persecution and, if found not to have such a fear, until removed”)</w:t>
      </w:r>
      <w:r>
        <w:rPr>
          <w:rFonts w:eastAsia="Times New Roman" w:cs="Times New Roman"/>
          <w:sz w:val="24"/>
          <w:szCs w:val="24"/>
        </w:rPr>
        <w:t>;</w:t>
      </w:r>
      <w:r w:rsidRPr="00197AFB">
        <w:rPr>
          <w:rFonts w:eastAsia="Times New Roman" w:cs="Times New Roman"/>
          <w:sz w:val="24"/>
          <w:szCs w:val="24"/>
        </w:rPr>
        <w:t xml:space="preserve"> </w:t>
      </w:r>
      <w:r w:rsidRPr="00197AFB">
        <w:rPr>
          <w:rFonts w:ascii="Times" w:eastAsia="Times New Roman" w:hAnsi="Times" w:cs="Times New Roman"/>
          <w:sz w:val="24"/>
          <w:szCs w:val="24"/>
          <w:u w:val="single"/>
        </w:rPr>
        <w:t>id.</w:t>
      </w:r>
      <w:r w:rsidRPr="00197AFB">
        <w:rPr>
          <w:rFonts w:ascii="Times" w:eastAsia="Times New Roman" w:hAnsi="Times" w:cs="Times New Roman"/>
          <w:sz w:val="24"/>
          <w:szCs w:val="24"/>
        </w:rPr>
        <w:t xml:space="preserve"> § 1226(a) (“an alien may be arrested and detained </w:t>
      </w:r>
      <w:r w:rsidRPr="00197AFB">
        <w:rPr>
          <w:rFonts w:ascii="Times" w:eastAsia="Times New Roman" w:hAnsi="Times" w:cs="Times New Roman"/>
          <w:i/>
          <w:sz w:val="24"/>
          <w:szCs w:val="24"/>
        </w:rPr>
        <w:t>pending</w:t>
      </w:r>
      <w:r w:rsidRPr="00197AFB">
        <w:rPr>
          <w:rFonts w:ascii="Times" w:eastAsia="Times New Roman" w:hAnsi="Times" w:cs="Times New Roman"/>
          <w:sz w:val="24"/>
          <w:szCs w:val="24"/>
        </w:rPr>
        <w:t xml:space="preserve"> a decision on whether the alien is to be removed from the United States).</w:t>
      </w:r>
      <w:r w:rsidRPr="00197AFB">
        <w:rPr>
          <w:rFonts w:cs="Times New Roman"/>
          <w:sz w:val="24"/>
          <w:szCs w:val="24"/>
        </w:rPr>
        <w:t xml:space="preserve"> </w:t>
      </w:r>
      <w:r w:rsidRPr="00197AFB">
        <w:rPr>
          <w:rFonts w:eastAsia="Times New Roman" w:cs="Times New Roman"/>
          <w:sz w:val="24"/>
          <w:szCs w:val="24"/>
        </w:rPr>
        <w:t>(emphases added).</w:t>
      </w:r>
      <w:r>
        <w:rPr>
          <w:rFonts w:eastAsia="Times New Roman" w:cs="Times New Roman"/>
          <w:sz w:val="24"/>
          <w:szCs w:val="24"/>
        </w:rPr>
        <w:t xml:space="preserve"> </w:t>
      </w:r>
      <w:r>
        <w:rPr>
          <w:rFonts w:eastAsia="Times New Roman" w:cs="Times New Roman"/>
          <w:sz w:val="24"/>
          <w:szCs w:val="24"/>
          <w:u w:val="single"/>
        </w:rPr>
        <w:t>Cf.</w:t>
      </w:r>
      <w:r>
        <w:rPr>
          <w:rFonts w:eastAsia="Times New Roman" w:cs="Times New Roman"/>
          <w:sz w:val="24"/>
          <w:szCs w:val="24"/>
        </w:rPr>
        <w:t xml:space="preserve"> </w:t>
      </w:r>
      <w:r w:rsidRPr="00B85C16">
        <w:rPr>
          <w:rFonts w:eastAsia="Times New Roman" w:cs="Times New Roman"/>
          <w:sz w:val="24"/>
          <w:szCs w:val="24"/>
          <w:u w:val="single"/>
        </w:rPr>
        <w:t>Ratzlaf v. United States</w:t>
      </w:r>
      <w:r>
        <w:rPr>
          <w:rFonts w:eastAsia="Times New Roman" w:cs="Times New Roman"/>
          <w:sz w:val="24"/>
          <w:szCs w:val="24"/>
        </w:rPr>
        <w:t>, 510 U.S. 135, 143 (1994) (“A</w:t>
      </w:r>
      <w:r w:rsidRPr="00B85C16">
        <w:rPr>
          <w:rFonts w:eastAsia="Times New Roman" w:cs="Times New Roman"/>
          <w:sz w:val="24"/>
          <w:szCs w:val="24"/>
        </w:rPr>
        <w:t xml:space="preserve"> term appearing in several places in a statutory text is generally read the same way each time it appears.”</w:t>
      </w:r>
      <w:r>
        <w:rPr>
          <w:rFonts w:eastAsia="Times New Roman" w:cs="Times New Roman"/>
          <w:sz w:val="24"/>
          <w:szCs w:val="24"/>
        </w:rPr>
        <w:t>).</w:t>
      </w:r>
      <w:r w:rsidRPr="00B85C16">
        <w:rPr>
          <w:rFonts w:eastAsia="Times New Roman" w:cs="Times New Roman"/>
          <w:sz w:val="24"/>
          <w:szCs w:val="24"/>
        </w:rPr>
        <w:t xml:space="preserve"> </w:t>
      </w:r>
    </w:p>
    <w:p w14:paraId="572DED6C" w14:textId="77777777" w:rsidR="002C34A4"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Pr>
          <w:rFonts w:eastAsia="Times New Roman" w:cs="Times New Roman"/>
          <w:sz w:val="24"/>
          <w:szCs w:val="24"/>
        </w:rPr>
        <w:t>“</w:t>
      </w:r>
      <w:r w:rsidRPr="00197AFB">
        <w:rPr>
          <w:rFonts w:eastAsia="Times New Roman" w:cs="Times New Roman"/>
          <w:sz w:val="24"/>
          <w:szCs w:val="24"/>
        </w:rPr>
        <w:t xml:space="preserve">Where Congress includes particular language in one section of a statute but omits it in another section of the same Act, it is generally presumed that Congress acts intentionally and purposely in the disparate inclusion or exclusion.” </w:t>
      </w:r>
      <w:r w:rsidRPr="00197AFB">
        <w:rPr>
          <w:rFonts w:eastAsia="Times New Roman" w:cs="Times New Roman"/>
          <w:sz w:val="24"/>
          <w:szCs w:val="24"/>
          <w:u w:val="single"/>
        </w:rPr>
        <w:t>Nken v. Holder</w:t>
      </w:r>
      <w:r w:rsidRPr="00197AFB">
        <w:rPr>
          <w:rFonts w:eastAsia="Times New Roman" w:cs="Times New Roman"/>
          <w:sz w:val="24"/>
          <w:szCs w:val="24"/>
        </w:rPr>
        <w:t>, 556 U.S. 418, 430 (2009)</w:t>
      </w:r>
      <w:r>
        <w:rPr>
          <w:rFonts w:eastAsia="Times New Roman" w:cs="Times New Roman"/>
          <w:sz w:val="24"/>
          <w:szCs w:val="24"/>
        </w:rPr>
        <w:t xml:space="preserve"> (internal citations and alterations omitted)</w:t>
      </w:r>
      <w:r w:rsidRPr="00197AFB">
        <w:rPr>
          <w:rFonts w:eastAsia="Times New Roman" w:cs="Times New Roman"/>
          <w:sz w:val="24"/>
          <w:szCs w:val="24"/>
        </w:rPr>
        <w:t>. This is “particularly true</w:t>
      </w:r>
      <w:r>
        <w:rPr>
          <w:rFonts w:eastAsia="Times New Roman" w:cs="Times New Roman"/>
          <w:sz w:val="24"/>
          <w:szCs w:val="24"/>
        </w:rPr>
        <w:t xml:space="preserve"> here”</w:t>
      </w:r>
      <w:r w:rsidRPr="00197AFB">
        <w:rPr>
          <w:rFonts w:eastAsia="Times New Roman" w:cs="Times New Roman"/>
          <w:sz w:val="24"/>
          <w:szCs w:val="24"/>
        </w:rPr>
        <w:t xml:space="preserve"> </w:t>
      </w:r>
      <w:r>
        <w:rPr>
          <w:rFonts w:eastAsia="Times New Roman" w:cs="Times New Roman"/>
          <w:sz w:val="24"/>
          <w:szCs w:val="24"/>
        </w:rPr>
        <w:t>where</w:t>
      </w:r>
      <w:r w:rsidRPr="00197AFB">
        <w:rPr>
          <w:rFonts w:eastAsia="Times New Roman" w:cs="Times New Roman"/>
          <w:sz w:val="24"/>
          <w:szCs w:val="24"/>
        </w:rPr>
        <w:t xml:space="preserve"> the provisions at issue were “enacted as part of a unified overhaul” of the statute</w:t>
      </w:r>
      <w:r>
        <w:rPr>
          <w:rFonts w:eastAsia="Times New Roman" w:cs="Times New Roman"/>
          <w:sz w:val="24"/>
          <w:szCs w:val="24"/>
        </w:rPr>
        <w:t xml:space="preserve"> under the Illegal Immigration Reform and Immigrant Responsibility Act of 1996</w:t>
      </w:r>
      <w:r w:rsidRPr="00197AFB">
        <w:rPr>
          <w:rFonts w:eastAsia="Times New Roman" w:cs="Times New Roman"/>
          <w:sz w:val="24"/>
          <w:szCs w:val="24"/>
        </w:rPr>
        <w:t xml:space="preserve">. </w:t>
      </w:r>
      <w:r w:rsidRPr="00197AFB">
        <w:rPr>
          <w:rFonts w:eastAsia="Times New Roman" w:cs="Times New Roman"/>
          <w:sz w:val="24"/>
          <w:szCs w:val="24"/>
          <w:u w:val="single"/>
        </w:rPr>
        <w:t>Id.</w:t>
      </w:r>
      <w:r w:rsidRPr="00197AFB">
        <w:rPr>
          <w:rFonts w:eastAsia="Times New Roman" w:cs="Times New Roman"/>
          <w:sz w:val="24"/>
          <w:szCs w:val="24"/>
        </w:rPr>
        <w:t xml:space="preserve"> at 430-31.</w:t>
      </w:r>
    </w:p>
    <w:p w14:paraId="17FA25BF" w14:textId="77777777" w:rsidR="002C34A4" w:rsidRPr="00732F91" w:rsidRDefault="002C34A4" w:rsidP="002C34A4">
      <w:pPr>
        <w:pStyle w:val="ListParagraph"/>
        <w:numPr>
          <w:ilvl w:val="0"/>
          <w:numId w:val="32"/>
        </w:numPr>
        <w:spacing w:line="480" w:lineRule="auto"/>
        <w:ind w:left="0" w:firstLine="0"/>
        <w:rPr>
          <w:rFonts w:cs="Times New Roman"/>
          <w:sz w:val="24"/>
          <w:szCs w:val="24"/>
        </w:rPr>
      </w:pPr>
      <w:r w:rsidRPr="002A05F2">
        <w:rPr>
          <w:rFonts w:eastAsia="Times New Roman" w:cs="Times New Roman"/>
          <w:sz w:val="24"/>
          <w:szCs w:val="24"/>
        </w:rPr>
        <w:t xml:space="preserve">The overall construction of the statute also supports a reading that limits </w:t>
      </w:r>
      <w:r w:rsidRPr="002A05F2">
        <w:rPr>
          <w:rFonts w:ascii="Times New Roman" w:hAnsi="Times New Roman" w:cs="Times New Roman"/>
          <w:sz w:val="24"/>
          <w:szCs w:val="24"/>
        </w:rPr>
        <w:t xml:space="preserve">§ </w:t>
      </w:r>
      <w:r w:rsidRPr="002A05F2">
        <w:rPr>
          <w:rFonts w:cs="Times New Roman"/>
          <w:sz w:val="24"/>
          <w:szCs w:val="24"/>
        </w:rPr>
        <w:t xml:space="preserve">1225(b) detention to the period before removal proceedings commence. </w:t>
      </w:r>
      <w:r w:rsidRPr="002A05F2">
        <w:rPr>
          <w:rFonts w:cs="Times New Roman"/>
          <w:sz w:val="24"/>
          <w:szCs w:val="24"/>
          <w:u w:val="single"/>
        </w:rPr>
        <w:t>Cf.</w:t>
      </w:r>
      <w:r w:rsidRPr="002A05F2">
        <w:rPr>
          <w:rFonts w:ascii="Times New Roman" w:eastAsia="Times New Roman" w:hAnsi="Times New Roman" w:cs="Times New Roman"/>
          <w:sz w:val="24"/>
          <w:szCs w:val="24"/>
        </w:rPr>
        <w:t xml:space="preserve"> </w:t>
      </w:r>
      <w:r w:rsidRPr="002A05F2">
        <w:rPr>
          <w:rFonts w:ascii="Times New Roman" w:eastAsia="Times New Roman" w:hAnsi="Times New Roman" w:cs="Times New Roman"/>
          <w:sz w:val="24"/>
          <w:szCs w:val="24"/>
          <w:u w:val="single"/>
        </w:rPr>
        <w:t>United States v. Witkovich</w:t>
      </w:r>
      <w:r>
        <w:rPr>
          <w:rFonts w:ascii="Times New Roman" w:eastAsia="Times New Roman" w:hAnsi="Times New Roman" w:cs="Times New Roman"/>
          <w:sz w:val="24"/>
          <w:szCs w:val="24"/>
        </w:rPr>
        <w:t xml:space="preserve">, 353 U.S. 194, 199 </w:t>
      </w:r>
      <w:r w:rsidRPr="002A05F2">
        <w:rPr>
          <w:rFonts w:ascii="Times New Roman" w:eastAsia="Times New Roman" w:hAnsi="Times New Roman" w:cs="Times New Roman"/>
          <w:sz w:val="24"/>
          <w:szCs w:val="24"/>
        </w:rPr>
        <w:t>(1957) (“A restrictive meaning for what appear to be plain words may be indicated by the Act as a whole . . . .”)</w:t>
      </w:r>
      <w:r>
        <w:rPr>
          <w:rFonts w:ascii="Times New Roman" w:eastAsia="Times New Roman" w:hAnsi="Times New Roman" w:cs="Times New Roman"/>
          <w:sz w:val="24"/>
          <w:szCs w:val="24"/>
        </w:rPr>
        <w:t xml:space="preserve">. </w:t>
      </w:r>
      <w:r w:rsidRPr="002A05F2">
        <w:rPr>
          <w:rFonts w:cs="Times New Roman"/>
          <w:sz w:val="24"/>
          <w:szCs w:val="24"/>
        </w:rPr>
        <w:t>Section 1225 is titled “Inspection by immigration officers; expedited removal of inadmissible arriving aliens; referral for hearing</w:t>
      </w:r>
      <w:r>
        <w:rPr>
          <w:rFonts w:cs="Times New Roman"/>
          <w:sz w:val="24"/>
          <w:szCs w:val="24"/>
        </w:rPr>
        <w:t>.</w:t>
      </w:r>
      <w:r w:rsidRPr="002A05F2">
        <w:rPr>
          <w:rFonts w:cs="Times New Roman"/>
          <w:sz w:val="24"/>
          <w:szCs w:val="24"/>
        </w:rPr>
        <w:t xml:space="preserve">” </w:t>
      </w:r>
      <w:r>
        <w:rPr>
          <w:rFonts w:cs="Times New Roman"/>
          <w:sz w:val="24"/>
          <w:szCs w:val="24"/>
        </w:rPr>
        <w:t>Section 1225</w:t>
      </w:r>
      <w:r w:rsidRPr="002A05F2">
        <w:rPr>
          <w:rFonts w:cs="Times New Roman"/>
          <w:sz w:val="24"/>
          <w:szCs w:val="24"/>
        </w:rPr>
        <w:t xml:space="preserve">(b) is titled “Inspection of Applicants for Admission.” The subsections at issue here are titled “Asylum Interviews: Referral of certain aliens,” 8 U.S.C. </w:t>
      </w:r>
      <w:r w:rsidRPr="002A05F2">
        <w:rPr>
          <w:rFonts w:ascii="Times New Roman" w:hAnsi="Times New Roman" w:cs="Times New Roman"/>
          <w:sz w:val="24"/>
          <w:szCs w:val="24"/>
        </w:rPr>
        <w:t xml:space="preserve">§ </w:t>
      </w:r>
      <w:r w:rsidRPr="002A05F2">
        <w:rPr>
          <w:rFonts w:cs="Times New Roman"/>
          <w:sz w:val="24"/>
          <w:szCs w:val="24"/>
        </w:rPr>
        <w:t xml:space="preserve">1225(b)(1)(B)(ii), and “Inspection of </w:t>
      </w:r>
      <w:r w:rsidRPr="002A05F2">
        <w:rPr>
          <w:rFonts w:cs="Times New Roman"/>
          <w:sz w:val="24"/>
          <w:szCs w:val="24"/>
        </w:rPr>
        <w:lastRenderedPageBreak/>
        <w:t xml:space="preserve">other aliens: In general,” </w:t>
      </w:r>
      <w:r w:rsidRPr="002A05F2">
        <w:rPr>
          <w:rFonts w:cs="Times New Roman"/>
          <w:sz w:val="24"/>
          <w:szCs w:val="24"/>
          <w:u w:val="single"/>
        </w:rPr>
        <w:t>id.</w:t>
      </w:r>
      <w:r w:rsidRPr="002A05F2">
        <w:rPr>
          <w:rFonts w:cs="Times New Roman"/>
          <w:sz w:val="24"/>
          <w:szCs w:val="24"/>
        </w:rPr>
        <w:t xml:space="preserve"> </w:t>
      </w:r>
      <w:r w:rsidRPr="002A05F2">
        <w:rPr>
          <w:rFonts w:ascii="Times New Roman" w:hAnsi="Times New Roman" w:cs="Times New Roman"/>
          <w:sz w:val="24"/>
          <w:szCs w:val="24"/>
        </w:rPr>
        <w:t xml:space="preserve">§ </w:t>
      </w:r>
      <w:r w:rsidRPr="002A05F2">
        <w:rPr>
          <w:rFonts w:cs="Times New Roman"/>
          <w:sz w:val="24"/>
          <w:szCs w:val="24"/>
        </w:rPr>
        <w:t xml:space="preserve">1225(b)(2)(A). </w:t>
      </w:r>
      <w:r>
        <w:rPr>
          <w:rFonts w:cs="Times New Roman"/>
          <w:sz w:val="24"/>
          <w:szCs w:val="24"/>
        </w:rPr>
        <w:t>By their plain language, none of these sections address detention authority pending removal proceedings. Rather, they address only detention pending inspection and referral to subsequent removal proeedings. A</w:t>
      </w:r>
      <w:r w:rsidRPr="00732F91">
        <w:rPr>
          <w:rFonts w:ascii="Times New Roman" w:eastAsia="Times New Roman" w:hAnsi="Times New Roman" w:cs="Times New Roman"/>
          <w:sz w:val="24"/>
          <w:szCs w:val="24"/>
        </w:rPr>
        <w:t xml:space="preserve">uthority for mandatory detention pending removal proceedings appears </w:t>
      </w:r>
      <w:r>
        <w:rPr>
          <w:rFonts w:ascii="Times New Roman" w:eastAsia="Times New Roman" w:hAnsi="Times New Roman" w:cs="Times New Roman"/>
          <w:sz w:val="24"/>
          <w:szCs w:val="24"/>
        </w:rPr>
        <w:t xml:space="preserve">instead </w:t>
      </w:r>
      <w:r w:rsidRPr="00732F91">
        <w:rPr>
          <w:rFonts w:ascii="Times New Roman" w:eastAsia="Times New Roman" w:hAnsi="Times New Roman" w:cs="Times New Roman"/>
          <w:sz w:val="24"/>
          <w:szCs w:val="24"/>
        </w:rPr>
        <w:t xml:space="preserve">in 8 U.S.C. </w:t>
      </w:r>
      <w:r w:rsidRPr="00732F91">
        <w:rPr>
          <w:rFonts w:ascii="Times New Roman" w:hAnsi="Times New Roman" w:cs="Times New Roman"/>
          <w:sz w:val="24"/>
          <w:szCs w:val="24"/>
        </w:rPr>
        <w:t>§ 1226, in a section appropriately titled “Apprehension and detention of alie</w:t>
      </w:r>
      <w:r>
        <w:rPr>
          <w:rFonts w:ascii="Times New Roman" w:hAnsi="Times New Roman" w:cs="Times New Roman"/>
          <w:sz w:val="24"/>
          <w:szCs w:val="24"/>
        </w:rPr>
        <w:t>ns.” That section does not authorize mandatory detention pending removal proceedings for arriving aliens.</w:t>
      </w:r>
    </w:p>
    <w:p w14:paraId="7286DE3C" w14:textId="77777777" w:rsidR="002C34A4" w:rsidRPr="002A05F2"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Pr>
          <w:rFonts w:cs="Times New Roman"/>
          <w:sz w:val="24"/>
          <w:szCs w:val="24"/>
        </w:rPr>
        <w:t>W</w:t>
      </w:r>
      <w:r w:rsidRPr="002A05F2">
        <w:rPr>
          <w:rFonts w:cs="Times New Roman"/>
          <w:sz w:val="24"/>
          <w:szCs w:val="24"/>
        </w:rPr>
        <w:t xml:space="preserve">here Congress intended to authorize mandatory detention </w:t>
      </w:r>
      <w:r>
        <w:rPr>
          <w:rFonts w:cs="Times New Roman"/>
          <w:sz w:val="24"/>
          <w:szCs w:val="24"/>
        </w:rPr>
        <w:t xml:space="preserve">of arriving aliens </w:t>
      </w:r>
      <w:r w:rsidRPr="002A05F2">
        <w:rPr>
          <w:rFonts w:cs="Times New Roman"/>
          <w:sz w:val="24"/>
          <w:szCs w:val="24"/>
        </w:rPr>
        <w:t xml:space="preserve">past the inspection and </w:t>
      </w:r>
      <w:r>
        <w:rPr>
          <w:rFonts w:cs="Times New Roman"/>
          <w:sz w:val="24"/>
          <w:szCs w:val="24"/>
        </w:rPr>
        <w:t>referral process</w:t>
      </w:r>
      <w:r w:rsidRPr="002A05F2">
        <w:rPr>
          <w:rFonts w:cs="Times New Roman"/>
          <w:sz w:val="24"/>
          <w:szCs w:val="24"/>
        </w:rPr>
        <w:t xml:space="preserve">, it provided </w:t>
      </w:r>
      <w:r>
        <w:rPr>
          <w:rFonts w:cs="Times New Roman"/>
          <w:sz w:val="24"/>
          <w:szCs w:val="24"/>
        </w:rPr>
        <w:t>specific</w:t>
      </w:r>
      <w:r w:rsidRPr="002A05F2">
        <w:rPr>
          <w:rFonts w:cs="Times New Roman"/>
          <w:sz w:val="24"/>
          <w:szCs w:val="24"/>
        </w:rPr>
        <w:t xml:space="preserve"> statutory authority</w:t>
      </w:r>
      <w:r>
        <w:rPr>
          <w:rFonts w:cs="Times New Roman"/>
          <w:sz w:val="24"/>
          <w:szCs w:val="24"/>
        </w:rPr>
        <w:t xml:space="preserve"> to do so</w:t>
      </w:r>
      <w:r w:rsidRPr="002A05F2">
        <w:rPr>
          <w:rFonts w:cs="Times New Roman"/>
          <w:sz w:val="24"/>
          <w:szCs w:val="24"/>
        </w:rPr>
        <w:t xml:space="preserve">. In </w:t>
      </w:r>
      <w:r w:rsidRPr="002A05F2">
        <w:rPr>
          <w:rFonts w:ascii="Times New Roman" w:hAnsi="Times New Roman" w:cs="Times New Roman"/>
          <w:sz w:val="24"/>
          <w:szCs w:val="24"/>
        </w:rPr>
        <w:t xml:space="preserve">§ </w:t>
      </w:r>
      <w:r w:rsidRPr="002A05F2">
        <w:rPr>
          <w:rFonts w:cs="Times New Roman"/>
          <w:sz w:val="24"/>
          <w:szCs w:val="24"/>
        </w:rPr>
        <w:t xml:space="preserve">1225(b)(1)(B)(iii)(IV), titled “Mandatory Detention,” Congress provided for </w:t>
      </w:r>
      <w:r w:rsidRPr="002A05F2">
        <w:rPr>
          <w:rFonts w:ascii="Times New Roman" w:hAnsi="Times New Roman" w:cs="Times New Roman"/>
          <w:sz w:val="24"/>
          <w:szCs w:val="24"/>
        </w:rPr>
        <w:t xml:space="preserve">the detention of a noncitizen </w:t>
      </w:r>
      <w:r w:rsidRPr="00340FE4">
        <w:t>“</w:t>
      </w:r>
      <w:r w:rsidRPr="002A05F2">
        <w:rPr>
          <w:rFonts w:ascii="Times New Roman" w:hAnsi="Times New Roman" w:cs="Times New Roman"/>
          <w:sz w:val="24"/>
          <w:szCs w:val="24"/>
        </w:rPr>
        <w:t xml:space="preserve">pending a final determination of credible fear of persecution and, if found not to have such a fear, until removed.” If Congress had intended to subject all arriving aliens to mandatory detention </w:t>
      </w:r>
      <w:r>
        <w:rPr>
          <w:rFonts w:ascii="Times New Roman" w:hAnsi="Times New Roman" w:cs="Times New Roman"/>
          <w:sz w:val="24"/>
          <w:szCs w:val="24"/>
        </w:rPr>
        <w:t>beyond the inspection and referral process</w:t>
      </w:r>
      <w:r w:rsidRPr="002A05F2">
        <w:rPr>
          <w:rFonts w:ascii="Times New Roman" w:hAnsi="Times New Roman" w:cs="Times New Roman"/>
          <w:sz w:val="24"/>
          <w:szCs w:val="24"/>
        </w:rPr>
        <w:t xml:space="preserve">, the specific mandate in § 1225(b)(1)(B)(iii)(IV) would be superfluous. “It is a cardinal principle of statutory construction that a statute ought . . . to be so construed that, if it can be prevented, no clause, sentence, or word shall be superfluous, void, or insignificant.” </w:t>
      </w:r>
      <w:r w:rsidRPr="002A05F2">
        <w:rPr>
          <w:rFonts w:ascii="Times New Roman" w:eastAsia="MS Mincho" w:hAnsi="Times New Roman" w:cs="Times New Roman"/>
          <w:sz w:val="24"/>
          <w:szCs w:val="24"/>
          <w:u w:val="single"/>
        </w:rPr>
        <w:t>TRW, Inc. v. Andrews</w:t>
      </w:r>
      <w:r w:rsidRPr="002A05F2">
        <w:rPr>
          <w:rFonts w:ascii="Times New Roman" w:eastAsia="MS Mincho" w:hAnsi="Times New Roman" w:cs="Times New Roman"/>
          <w:sz w:val="24"/>
          <w:szCs w:val="24"/>
        </w:rPr>
        <w:t>, 534 U.S. 19, 31 (2001) (internal quotations omitted).</w:t>
      </w:r>
    </w:p>
    <w:p w14:paraId="3B08996F" w14:textId="77777777" w:rsidR="002C34A4" w:rsidRPr="00197AFB"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Pr>
          <w:rFonts w:eastAsia="Times New Roman" w:cs="Times New Roman"/>
          <w:sz w:val="24"/>
          <w:szCs w:val="24"/>
        </w:rPr>
        <w:t>Moreover, a</w:t>
      </w:r>
      <w:r w:rsidRPr="00197AFB">
        <w:rPr>
          <w:rFonts w:eastAsia="Times New Roman" w:cs="Times New Roman"/>
          <w:sz w:val="24"/>
          <w:szCs w:val="24"/>
        </w:rPr>
        <w:t>s explained above in the Second Claim for Relief, the doctrine of constitutional avoidance requires this Court to “</w:t>
      </w:r>
      <w:r w:rsidRPr="00197AFB">
        <w:rPr>
          <w:rFonts w:ascii="Times New Roman" w:eastAsia="Times New Roman" w:hAnsi="Times New Roman" w:cs="Times New Roman"/>
          <w:sz w:val="24"/>
          <w:szCs w:val="24"/>
        </w:rPr>
        <w:t xml:space="preserve">first ascertain whether a construction of the statute is fairly possible by which the [constitutional] question may be avoided.” </w:t>
      </w:r>
      <w:r w:rsidRPr="00197AFB">
        <w:rPr>
          <w:rFonts w:ascii="Times New Roman" w:eastAsia="Times New Roman" w:hAnsi="Times New Roman" w:cs="Times New Roman"/>
          <w:sz w:val="24"/>
          <w:szCs w:val="24"/>
          <w:u w:val="single"/>
        </w:rPr>
        <w:t>Crowell v. Benson</w:t>
      </w:r>
      <w:r w:rsidRPr="00197AFB">
        <w:rPr>
          <w:rFonts w:ascii="Times New Roman" w:eastAsia="Times New Roman" w:hAnsi="Times New Roman" w:cs="Times New Roman"/>
          <w:sz w:val="24"/>
          <w:szCs w:val="24"/>
        </w:rPr>
        <w:t xml:space="preserve">, 285 U.S. 22, 62. </w:t>
      </w:r>
      <w:r>
        <w:rPr>
          <w:rFonts w:ascii="Times New Roman" w:eastAsia="Times New Roman" w:hAnsi="Times New Roman" w:cs="Times New Roman"/>
          <w:sz w:val="24"/>
          <w:szCs w:val="24"/>
        </w:rPr>
        <w:t xml:space="preserve">In light of the text and overall construction </w:t>
      </w:r>
      <w:r w:rsidRPr="00197AFB">
        <w:rPr>
          <w:rFonts w:ascii="Times New Roman" w:eastAsia="Times New Roman" w:hAnsi="Times New Roman" w:cs="Times New Roman"/>
          <w:sz w:val="24"/>
          <w:szCs w:val="24"/>
        </w:rPr>
        <w:t xml:space="preserve">of </w:t>
      </w:r>
      <w:r w:rsidRPr="00197AFB">
        <w:rPr>
          <w:rFonts w:ascii="Times New Roman" w:hAnsi="Times New Roman" w:cs="Times New Roman"/>
          <w:sz w:val="24"/>
          <w:szCs w:val="24"/>
        </w:rPr>
        <w:t xml:space="preserve">§ </w:t>
      </w:r>
      <w:r w:rsidRPr="00197AFB">
        <w:rPr>
          <w:rFonts w:ascii="Times New Roman" w:eastAsia="Times New Roman" w:hAnsi="Times New Roman" w:cs="Times New Roman"/>
          <w:sz w:val="24"/>
          <w:szCs w:val="24"/>
        </w:rPr>
        <w:t>1225(b)</w:t>
      </w:r>
      <w:r>
        <w:rPr>
          <w:rFonts w:ascii="Times New Roman" w:eastAsia="Times New Roman" w:hAnsi="Times New Roman" w:cs="Times New Roman"/>
          <w:sz w:val="24"/>
          <w:szCs w:val="24"/>
        </w:rPr>
        <w:t>,</w:t>
      </w:r>
      <w:r w:rsidRPr="00197A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discussed above, the statute </w:t>
      </w:r>
      <w:r w:rsidRPr="00197AFB">
        <w:rPr>
          <w:rFonts w:ascii="Times New Roman" w:eastAsia="Times New Roman" w:hAnsi="Times New Roman" w:cs="Times New Roman"/>
          <w:sz w:val="24"/>
          <w:szCs w:val="24"/>
        </w:rPr>
        <w:t>may be fairly construed to limit mandatory detention to the period before removal proceedings commence</w:t>
      </w:r>
      <w:r>
        <w:rPr>
          <w:rFonts w:ascii="Times New Roman" w:eastAsia="Times New Roman" w:hAnsi="Times New Roman" w:cs="Times New Roman"/>
          <w:sz w:val="24"/>
          <w:szCs w:val="24"/>
        </w:rPr>
        <w:t>.</w:t>
      </w:r>
      <w:r w:rsidRPr="00197A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197AFB">
        <w:rPr>
          <w:rFonts w:ascii="Times New Roman" w:eastAsia="Times New Roman" w:hAnsi="Times New Roman" w:cs="Times New Roman"/>
          <w:sz w:val="24"/>
          <w:szCs w:val="24"/>
        </w:rPr>
        <w:t xml:space="preserve">he Court must do so in order to avoid the constitutional question raised by the government’s reading. </w:t>
      </w:r>
    </w:p>
    <w:p w14:paraId="53F3180E" w14:textId="77777777" w:rsidR="002C34A4" w:rsidRPr="00197AFB"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Pr>
          <w:rFonts w:eastAsia="Times New Roman" w:cs="Times New Roman"/>
          <w:sz w:val="24"/>
          <w:szCs w:val="24"/>
        </w:rPr>
        <w:lastRenderedPageBreak/>
        <w:t>P</w:t>
      </w:r>
      <w:r w:rsidRPr="00197AFB">
        <w:rPr>
          <w:rFonts w:eastAsia="Times New Roman" w:cs="Times New Roman"/>
          <w:sz w:val="24"/>
          <w:szCs w:val="24"/>
        </w:rPr>
        <w:t xml:space="preserve">etitioner’s interpretation of </w:t>
      </w:r>
      <w:r w:rsidRPr="00197AFB">
        <w:rPr>
          <w:rFonts w:ascii="Times New Roman" w:hAnsi="Times New Roman" w:cs="Times New Roman"/>
          <w:sz w:val="24"/>
          <w:szCs w:val="24"/>
        </w:rPr>
        <w:t xml:space="preserve">§ </w:t>
      </w:r>
      <w:r w:rsidRPr="00197AFB">
        <w:rPr>
          <w:rFonts w:eastAsia="Times New Roman" w:cs="Times New Roman"/>
          <w:sz w:val="24"/>
          <w:szCs w:val="24"/>
        </w:rPr>
        <w:t xml:space="preserve">1225(b) </w:t>
      </w:r>
      <w:r>
        <w:rPr>
          <w:rFonts w:eastAsia="Times New Roman" w:cs="Times New Roman"/>
          <w:sz w:val="24"/>
          <w:szCs w:val="24"/>
        </w:rPr>
        <w:t xml:space="preserve">also </w:t>
      </w:r>
      <w:r w:rsidRPr="00197AFB">
        <w:rPr>
          <w:rFonts w:eastAsia="Times New Roman" w:cs="Times New Roman"/>
          <w:sz w:val="24"/>
          <w:szCs w:val="24"/>
        </w:rPr>
        <w:t xml:space="preserve">accords with the government’s own practice of detaining other recent arrivals under </w:t>
      </w:r>
      <w:r w:rsidRPr="00197AFB">
        <w:rPr>
          <w:rFonts w:ascii="Times New Roman" w:hAnsi="Times New Roman" w:cs="Times New Roman"/>
          <w:sz w:val="24"/>
          <w:szCs w:val="24"/>
        </w:rPr>
        <w:t xml:space="preserve">§ </w:t>
      </w:r>
      <w:r w:rsidRPr="00197AFB">
        <w:rPr>
          <w:rFonts w:eastAsia="Times New Roman" w:cs="Times New Roman"/>
          <w:sz w:val="24"/>
          <w:szCs w:val="24"/>
        </w:rPr>
        <w:t xml:space="preserve">1226(a) once they pass a credible fear interview and their removal proceedings have commenced. Both noncitizens who present themselves at the border and those who enter without inspection and are subsequently arrested near the border are initially detained under </w:t>
      </w:r>
      <w:r w:rsidRPr="00197AFB">
        <w:rPr>
          <w:rFonts w:ascii="Times New Roman" w:hAnsi="Times New Roman" w:cs="Times New Roman"/>
          <w:sz w:val="24"/>
          <w:szCs w:val="24"/>
        </w:rPr>
        <w:t xml:space="preserve">§ </w:t>
      </w:r>
      <w:r w:rsidRPr="00197AFB">
        <w:rPr>
          <w:rFonts w:eastAsia="Times New Roman" w:cs="Times New Roman"/>
          <w:sz w:val="24"/>
          <w:szCs w:val="24"/>
        </w:rPr>
        <w:t xml:space="preserve">1225(b)(1)(B)(ii) for expedited removal proceedings. </w:t>
      </w:r>
      <w:r w:rsidRPr="00197AFB">
        <w:rPr>
          <w:rFonts w:eastAsia="Times New Roman" w:cs="Times New Roman"/>
          <w:sz w:val="24"/>
          <w:szCs w:val="24"/>
          <w:u w:val="single"/>
        </w:rPr>
        <w:t>See</w:t>
      </w:r>
      <w:r w:rsidRPr="00197AFB">
        <w:rPr>
          <w:rFonts w:eastAsia="Times New Roman" w:cs="Times New Roman"/>
          <w:sz w:val="24"/>
          <w:szCs w:val="24"/>
        </w:rPr>
        <w:t xml:space="preserve"> </w:t>
      </w:r>
      <w:r w:rsidRPr="00197AFB">
        <w:rPr>
          <w:rFonts w:eastAsia="Times New Roman" w:cs="Times New Roman"/>
          <w:sz w:val="24"/>
          <w:szCs w:val="24"/>
          <w:u w:val="single"/>
        </w:rPr>
        <w:t>Matter of</w:t>
      </w:r>
      <w:r w:rsidRPr="00197AFB">
        <w:rPr>
          <w:rFonts w:ascii="Times New Roman" w:eastAsia="Times New Roman" w:hAnsi="Times New Roman" w:cs="Times New Roman"/>
          <w:sz w:val="24"/>
          <w:szCs w:val="24"/>
          <w:u w:val="single"/>
        </w:rPr>
        <w:t xml:space="preserve"> X-K-</w:t>
      </w:r>
      <w:r w:rsidRPr="00197AFB">
        <w:rPr>
          <w:rFonts w:ascii="Times New Roman" w:eastAsia="Times New Roman" w:hAnsi="Times New Roman" w:cs="Times New Roman"/>
          <w:sz w:val="24"/>
          <w:szCs w:val="24"/>
        </w:rPr>
        <w:t>, 23 I. &amp; N. Dec. 731, 734.</w:t>
      </w:r>
    </w:p>
    <w:p w14:paraId="2FEEBE08" w14:textId="77777777" w:rsidR="002C34A4" w:rsidRPr="00197AFB"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sidRPr="00197AFB">
        <w:rPr>
          <w:rFonts w:eastAsia="Times New Roman" w:cs="Times New Roman"/>
          <w:sz w:val="24"/>
          <w:szCs w:val="24"/>
        </w:rPr>
        <w:t xml:space="preserve">Once the government determines that either arriving aliens or entrants without inspection have a credible fear of persecution, it refers them to nonexpedited removal proceedings. Yet for entrants without inspection alone, the government detains under </w:t>
      </w:r>
      <w:r w:rsidRPr="00197AFB">
        <w:rPr>
          <w:rFonts w:ascii="Times New Roman" w:hAnsi="Times New Roman" w:cs="Times New Roman"/>
          <w:sz w:val="24"/>
          <w:szCs w:val="24"/>
        </w:rPr>
        <w:t xml:space="preserve">§ </w:t>
      </w:r>
      <w:r w:rsidRPr="00197AFB">
        <w:rPr>
          <w:rFonts w:eastAsia="Times New Roman" w:cs="Times New Roman"/>
          <w:sz w:val="24"/>
          <w:szCs w:val="24"/>
        </w:rPr>
        <w:t xml:space="preserve">1226(a) once removal proceedings commence. </w:t>
      </w:r>
      <w:r w:rsidRPr="00197AFB">
        <w:rPr>
          <w:rFonts w:eastAsia="Times New Roman" w:cs="Times New Roman"/>
          <w:sz w:val="24"/>
          <w:szCs w:val="24"/>
          <w:u w:val="single"/>
        </w:rPr>
        <w:t>Id.</w:t>
      </w:r>
      <w:r w:rsidRPr="00197AFB">
        <w:rPr>
          <w:rFonts w:ascii="Times New Roman" w:eastAsia="Times New Roman" w:hAnsi="Times New Roman" w:cs="Times New Roman"/>
          <w:sz w:val="24"/>
          <w:szCs w:val="24"/>
        </w:rPr>
        <w:t xml:space="preserve"> This entitles entrants without inspection, but not those who present themselves to an officer to seek asylum, to an immediate bond hearing.</w:t>
      </w:r>
    </w:p>
    <w:p w14:paraId="74FD16CA" w14:textId="77777777" w:rsidR="002C34A4" w:rsidRPr="00197AFB"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New Roman" w:eastAsia="Times New Roman" w:hAnsi="Times New Roman" w:cs="Times New Roman"/>
          <w:sz w:val="24"/>
          <w:szCs w:val="24"/>
        </w:rPr>
        <w:t xml:space="preserve">The text of </w:t>
      </w:r>
      <w:r w:rsidRPr="00197AFB">
        <w:rPr>
          <w:rFonts w:ascii="Times New Roman" w:hAnsi="Times New Roman" w:cs="Times New Roman"/>
          <w:sz w:val="24"/>
          <w:szCs w:val="24"/>
        </w:rPr>
        <w:t xml:space="preserve">§ </w:t>
      </w:r>
      <w:r w:rsidRPr="00197AFB">
        <w:rPr>
          <w:rFonts w:ascii="Times New Roman" w:eastAsia="Times New Roman" w:hAnsi="Times New Roman" w:cs="Times New Roman"/>
          <w:sz w:val="24"/>
          <w:szCs w:val="24"/>
        </w:rPr>
        <w:t xml:space="preserve">1225(b) does not distinguish between entrants without inspection and those who, like </w:t>
      </w:r>
      <w:r>
        <w:rPr>
          <w:rFonts w:ascii="Times New Roman" w:eastAsia="Times New Roman" w:hAnsi="Times New Roman" w:cs="Times New Roman"/>
          <w:sz w:val="24"/>
          <w:szCs w:val="24"/>
        </w:rPr>
        <w:t>petitioner</w:t>
      </w:r>
      <w:r w:rsidRPr="00197AFB">
        <w:rPr>
          <w:rFonts w:ascii="Times New Roman" w:eastAsia="Times New Roman" w:hAnsi="Times New Roman" w:cs="Times New Roman"/>
          <w:sz w:val="24"/>
          <w:szCs w:val="24"/>
        </w:rPr>
        <w:t xml:space="preserve">, present themselves at the border. It therefore must be construed consistently to be limited to the period before removal proceedings commence. </w:t>
      </w:r>
      <w:r w:rsidRPr="00197AFB">
        <w:rPr>
          <w:rFonts w:ascii="Times New Roman" w:eastAsia="Times New Roman" w:hAnsi="Times New Roman" w:cs="Times New Roman"/>
          <w:sz w:val="24"/>
          <w:szCs w:val="24"/>
          <w:u w:val="single"/>
        </w:rPr>
        <w:t>Clark v. Martinez</w:t>
      </w:r>
      <w:r w:rsidRPr="00197AFB">
        <w:rPr>
          <w:rFonts w:ascii="Times New Roman" w:eastAsia="Times New Roman" w:hAnsi="Times New Roman" w:cs="Times New Roman"/>
          <w:sz w:val="24"/>
          <w:szCs w:val="24"/>
        </w:rPr>
        <w:t>, 543 U.S. at 378 (“To give these same words a different meaning for each category would be to invent a statute rather than interpret one.”)</w:t>
      </w:r>
      <w:r>
        <w:rPr>
          <w:rFonts w:ascii="Times New Roman" w:eastAsia="Times New Roman" w:hAnsi="Times New Roman" w:cs="Times New Roman"/>
          <w:sz w:val="24"/>
          <w:szCs w:val="24"/>
        </w:rPr>
        <w:t>.</w:t>
      </w:r>
    </w:p>
    <w:p w14:paraId="2C603414" w14:textId="77777777" w:rsidR="002C34A4" w:rsidRPr="00197AFB"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sidRPr="00197AFB">
        <w:rPr>
          <w:rFonts w:eastAsia="Times New Roman" w:cs="Times New Roman"/>
          <w:sz w:val="24"/>
          <w:szCs w:val="24"/>
        </w:rPr>
        <w:t xml:space="preserve">Finally, a construction of </w:t>
      </w:r>
      <w:r w:rsidRPr="00197AFB">
        <w:rPr>
          <w:rFonts w:ascii="Times New Roman" w:hAnsi="Times New Roman" w:cs="Times New Roman"/>
          <w:sz w:val="24"/>
          <w:szCs w:val="24"/>
        </w:rPr>
        <w:t xml:space="preserve">§ </w:t>
      </w:r>
      <w:r w:rsidRPr="00197AFB">
        <w:rPr>
          <w:rFonts w:ascii="Times New Roman" w:eastAsia="Times New Roman" w:hAnsi="Times New Roman" w:cs="Times New Roman"/>
          <w:sz w:val="24"/>
          <w:szCs w:val="24"/>
        </w:rPr>
        <w:t>1225(b) as limited to before commencement of removal proceedings avoids the absurd result of incentivizing entry without inspection. According to the government</w:t>
      </w:r>
      <w:r>
        <w:rPr>
          <w:rFonts w:ascii="Times New Roman" w:eastAsia="Times New Roman" w:hAnsi="Times New Roman" w:cs="Times New Roman"/>
          <w:sz w:val="24"/>
          <w:szCs w:val="24"/>
        </w:rPr>
        <w:t xml:space="preserve">’s reading of </w:t>
      </w:r>
      <w:r w:rsidRPr="00197AFB">
        <w:rPr>
          <w:rFonts w:ascii="Times New Roman" w:hAnsi="Times New Roman" w:cs="Times New Roman"/>
          <w:sz w:val="24"/>
          <w:szCs w:val="24"/>
        </w:rPr>
        <w:t xml:space="preserve">§ </w:t>
      </w:r>
      <w:r w:rsidRPr="00197AFB">
        <w:rPr>
          <w:rFonts w:ascii="Times New Roman" w:eastAsia="Times New Roman" w:hAnsi="Times New Roman" w:cs="Times New Roman"/>
          <w:sz w:val="24"/>
          <w:szCs w:val="24"/>
        </w:rPr>
        <w:t xml:space="preserve">1225(b), Congress incentivized asylum seekers to enter without inspection rather than present themselves at the border by providing access to bond hearings during removal proceedings for only the first class. It is improbable that Congress intended such a result with </w:t>
      </w:r>
      <w:r w:rsidRPr="00197AFB">
        <w:rPr>
          <w:rFonts w:ascii="Times New Roman" w:hAnsi="Times New Roman" w:cs="Times New Roman"/>
          <w:sz w:val="24"/>
          <w:szCs w:val="24"/>
        </w:rPr>
        <w:t xml:space="preserve">§ </w:t>
      </w:r>
      <w:r w:rsidRPr="00197AFB">
        <w:rPr>
          <w:rFonts w:ascii="Times New Roman" w:eastAsia="Times New Roman" w:hAnsi="Times New Roman" w:cs="Times New Roman"/>
          <w:sz w:val="24"/>
          <w:szCs w:val="24"/>
        </w:rPr>
        <w:t xml:space="preserve">1225(b), because </w:t>
      </w:r>
      <w:r>
        <w:rPr>
          <w:rFonts w:ascii="Times New Roman" w:eastAsia="Times New Roman" w:hAnsi="Times New Roman" w:cs="Times New Roman"/>
          <w:sz w:val="24"/>
          <w:szCs w:val="24"/>
        </w:rPr>
        <w:t xml:space="preserve">the </w:t>
      </w:r>
      <w:r w:rsidRPr="00197AFB">
        <w:rPr>
          <w:rFonts w:ascii="Times New Roman" w:eastAsia="Times New Roman" w:hAnsi="Times New Roman" w:cs="Times New Roman"/>
          <w:sz w:val="24"/>
          <w:szCs w:val="24"/>
        </w:rPr>
        <w:t xml:space="preserve">purpose </w:t>
      </w:r>
      <w:r>
        <w:rPr>
          <w:rFonts w:ascii="Times New Roman" w:eastAsia="Times New Roman" w:hAnsi="Times New Roman" w:cs="Times New Roman"/>
          <w:sz w:val="24"/>
          <w:szCs w:val="24"/>
        </w:rPr>
        <w:t xml:space="preserve">of mandatory detention </w:t>
      </w:r>
      <w:r w:rsidRPr="00197AFB">
        <w:rPr>
          <w:rFonts w:ascii="Times" w:eastAsia="Times New Roman" w:hAnsi="Times" w:cs="Times New Roman"/>
          <w:sz w:val="24"/>
          <w:szCs w:val="24"/>
        </w:rPr>
        <w:t xml:space="preserve">is “preventing . . . aliens </w:t>
      </w:r>
      <w:r w:rsidRPr="00197AFB">
        <w:rPr>
          <w:rFonts w:ascii="Times" w:eastAsia="Times New Roman" w:hAnsi="Times" w:cs="Times New Roman"/>
          <w:sz w:val="24"/>
          <w:szCs w:val="24"/>
        </w:rPr>
        <w:lastRenderedPageBreak/>
        <w:t xml:space="preserve">from fleeing prior to </w:t>
      </w:r>
      <w:r>
        <w:rPr>
          <w:rFonts w:ascii="Times" w:eastAsia="Times New Roman" w:hAnsi="Times" w:cs="Times New Roman"/>
          <w:sz w:val="24"/>
          <w:szCs w:val="24"/>
        </w:rPr>
        <w:t>. . .</w:t>
      </w:r>
      <w:r w:rsidRPr="00197AFB">
        <w:rPr>
          <w:rFonts w:ascii="Times" w:eastAsia="Times New Roman" w:hAnsi="Times" w:cs="Times New Roman"/>
          <w:sz w:val="24"/>
          <w:szCs w:val="24"/>
        </w:rPr>
        <w:t xml:space="preserve"> their removal proceedings</w:t>
      </w:r>
      <w:r>
        <w:rPr>
          <w:rFonts w:ascii="Times" w:eastAsia="Times New Roman" w:hAnsi="Times" w:cs="Times New Roman"/>
          <w:sz w:val="24"/>
          <w:szCs w:val="24"/>
        </w:rPr>
        <w:t>[,]</w:t>
      </w:r>
      <w:r w:rsidRPr="00197AFB">
        <w:rPr>
          <w:rFonts w:ascii="Times" w:eastAsia="Times New Roman" w:hAnsi="Times" w:cs="Times New Roman"/>
          <w:sz w:val="24"/>
          <w:szCs w:val="24"/>
        </w:rPr>
        <w:t>”</w:t>
      </w:r>
      <w:r w:rsidRPr="001E4FE6">
        <w:rPr>
          <w:rFonts w:ascii="Times" w:eastAsia="Times New Roman" w:hAnsi="Times" w:cs="Times New Roman"/>
          <w:sz w:val="24"/>
          <w:szCs w:val="24"/>
          <w:u w:val="single"/>
        </w:rPr>
        <w:t xml:space="preserve"> </w:t>
      </w:r>
      <w:r w:rsidRPr="00197AFB">
        <w:rPr>
          <w:rFonts w:ascii="Times" w:eastAsia="Times New Roman" w:hAnsi="Times" w:cs="Times New Roman"/>
          <w:sz w:val="24"/>
          <w:szCs w:val="24"/>
          <w:u w:val="single"/>
        </w:rPr>
        <w:t>Demore v. Kim</w:t>
      </w:r>
      <w:r w:rsidRPr="00197AFB">
        <w:rPr>
          <w:rFonts w:ascii="Times" w:eastAsia="Times New Roman" w:hAnsi="Times" w:cs="Times New Roman"/>
          <w:sz w:val="24"/>
          <w:szCs w:val="24"/>
        </w:rPr>
        <w:t>, 538 U.S. 510, 527–28</w:t>
      </w:r>
      <w:r>
        <w:rPr>
          <w:rFonts w:ascii="Times" w:eastAsia="Times New Roman" w:hAnsi="Times" w:cs="Times New Roman"/>
          <w:sz w:val="24"/>
          <w:szCs w:val="24"/>
        </w:rPr>
        <w:t xml:space="preserve">, </w:t>
      </w:r>
      <w:r w:rsidRPr="00197AFB">
        <w:rPr>
          <w:rFonts w:ascii="Times" w:eastAsia="Times New Roman" w:hAnsi="Times" w:cs="Times New Roman"/>
          <w:sz w:val="24"/>
          <w:szCs w:val="24"/>
        </w:rPr>
        <w:t xml:space="preserve">not avoiding removal proceedings altogether by entering without inspection. </w:t>
      </w:r>
    </w:p>
    <w:p w14:paraId="01BA9DF0" w14:textId="77777777" w:rsidR="002C34A4" w:rsidRPr="00197AFB" w:rsidRDefault="002C34A4" w:rsidP="002C34A4">
      <w:pPr>
        <w:pStyle w:val="ListParagraph"/>
        <w:numPr>
          <w:ilvl w:val="0"/>
          <w:numId w:val="32"/>
        </w:numPr>
        <w:spacing w:line="480" w:lineRule="auto"/>
        <w:ind w:left="0" w:firstLine="0"/>
        <w:rPr>
          <w:rFonts w:ascii="Times New Roman" w:hAnsi="Times New Roman" w:cs="Times New Roman"/>
          <w:sz w:val="24"/>
          <w:szCs w:val="24"/>
        </w:rPr>
      </w:pPr>
      <w:r w:rsidRPr="00197AFB">
        <w:rPr>
          <w:rFonts w:ascii="Times" w:eastAsia="Times New Roman" w:hAnsi="Times" w:cs="Times New Roman"/>
          <w:sz w:val="24"/>
          <w:szCs w:val="24"/>
        </w:rPr>
        <w:t xml:space="preserve">This Court should therefore hold that </w:t>
      </w:r>
      <w:r>
        <w:rPr>
          <w:rFonts w:eastAsia="Times New Roman" w:cs="Times New Roman"/>
          <w:sz w:val="24"/>
          <w:szCs w:val="24"/>
        </w:rPr>
        <w:t>petitioner</w:t>
      </w:r>
      <w:r w:rsidRPr="00197AFB">
        <w:rPr>
          <w:rFonts w:eastAsia="Times New Roman" w:cs="Times New Roman"/>
          <w:sz w:val="24"/>
          <w:szCs w:val="24"/>
        </w:rPr>
        <w:t xml:space="preserve">’s detention pending removal proceedings is governed by </w:t>
      </w:r>
      <w:r w:rsidRPr="00197AFB">
        <w:rPr>
          <w:rFonts w:ascii="Times New Roman" w:hAnsi="Times New Roman" w:cs="Times New Roman"/>
          <w:sz w:val="24"/>
          <w:szCs w:val="24"/>
        </w:rPr>
        <w:t xml:space="preserve">§ </w:t>
      </w:r>
      <w:r w:rsidRPr="00197AFB">
        <w:rPr>
          <w:rFonts w:eastAsia="Times New Roman" w:cs="Times New Roman"/>
          <w:sz w:val="24"/>
          <w:szCs w:val="24"/>
        </w:rPr>
        <w:t>1226(a), entitling him to a bond hearing upon request before an immigration judge.</w:t>
      </w:r>
    </w:p>
    <w:p w14:paraId="435A2EA5" w14:textId="7B736FE8" w:rsidR="009B4528" w:rsidRPr="003A2DBD" w:rsidRDefault="009B4528" w:rsidP="002C34A4">
      <w:pPr>
        <w:spacing w:line="480" w:lineRule="auto"/>
        <w:contextualSpacing/>
        <w:jc w:val="center"/>
        <w:rPr>
          <w:rFonts w:eastAsia="Times New Roman" w:cs="Times New Roman"/>
          <w:sz w:val="24"/>
          <w:szCs w:val="24"/>
        </w:rPr>
      </w:pPr>
    </w:p>
    <w:p w14:paraId="7CF44EEF" w14:textId="3898066F" w:rsidR="009B4528" w:rsidRPr="003A2DBD" w:rsidRDefault="009B4528" w:rsidP="009B4528">
      <w:pPr>
        <w:spacing w:line="480" w:lineRule="auto"/>
        <w:rPr>
          <w:rFonts w:eastAsia="Times New Roman" w:cs="Times New Roman"/>
          <w:sz w:val="24"/>
          <w:szCs w:val="24"/>
        </w:rPr>
      </w:pPr>
    </w:p>
    <w:p w14:paraId="3D501925" w14:textId="2D27768C" w:rsidR="009B4528" w:rsidRPr="003A2DBD" w:rsidRDefault="009B4528">
      <w:pPr>
        <w:rPr>
          <w:rFonts w:eastAsia="Times New Roman" w:cs="Times New Roman"/>
          <w:sz w:val="24"/>
          <w:szCs w:val="24"/>
        </w:rPr>
      </w:pPr>
      <w:r w:rsidRPr="003A2DBD">
        <w:rPr>
          <w:rFonts w:eastAsia="Times New Roman" w:cs="Times New Roman"/>
          <w:sz w:val="24"/>
          <w:szCs w:val="24"/>
        </w:rPr>
        <w:br w:type="page"/>
      </w:r>
    </w:p>
    <w:p w14:paraId="63393256" w14:textId="77777777" w:rsidR="00936FD1" w:rsidRPr="003A2DBD" w:rsidRDefault="5A2F9B48" w:rsidP="00936FD1">
      <w:pPr>
        <w:keepNext/>
        <w:spacing w:line="480" w:lineRule="auto"/>
        <w:jc w:val="center"/>
        <w:rPr>
          <w:rFonts w:cs="Times New Roman"/>
          <w:b/>
          <w:sz w:val="24"/>
          <w:szCs w:val="24"/>
          <w:u w:val="single"/>
        </w:rPr>
      </w:pPr>
      <w:r w:rsidRPr="003A2DBD">
        <w:rPr>
          <w:rFonts w:eastAsia="Times New Roman" w:cs="Times New Roman"/>
          <w:b/>
          <w:bCs/>
          <w:sz w:val="24"/>
          <w:szCs w:val="24"/>
          <w:u w:val="single"/>
        </w:rPr>
        <w:lastRenderedPageBreak/>
        <w:t>PRAYER FOR RELIEF</w:t>
      </w:r>
    </w:p>
    <w:p w14:paraId="414AD7C1" w14:textId="5B7F8735" w:rsidR="00166C9B" w:rsidRPr="00197AFB" w:rsidRDefault="00166C9B" w:rsidP="00166C9B">
      <w:pPr>
        <w:spacing w:line="480" w:lineRule="auto"/>
        <w:rPr>
          <w:rFonts w:cs="Times New Roman"/>
          <w:sz w:val="24"/>
          <w:szCs w:val="24"/>
        </w:rPr>
      </w:pPr>
      <w:r w:rsidRPr="00197AFB">
        <w:rPr>
          <w:rFonts w:eastAsia="Times New Roman" w:cs="Times New Roman"/>
          <w:sz w:val="24"/>
          <w:szCs w:val="24"/>
        </w:rPr>
        <w:t>WHEREFORE, Petitioner respectfully requests that this Court:</w:t>
      </w:r>
    </w:p>
    <w:p w14:paraId="6F43E033" w14:textId="77777777" w:rsidR="00166C9B" w:rsidRPr="00197AFB" w:rsidRDefault="00166C9B" w:rsidP="00166C9B">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Assume jurisdiction over this matter;</w:t>
      </w:r>
    </w:p>
    <w:p w14:paraId="19FD039C" w14:textId="77777777" w:rsidR="00166C9B" w:rsidRPr="00197AFB" w:rsidRDefault="00166C9B" w:rsidP="00166C9B">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 xml:space="preserve">Issue a Writ of Habeas Corpus ordering </w:t>
      </w:r>
      <w:r>
        <w:rPr>
          <w:rFonts w:eastAsia="Times New Roman" w:cs="Times New Roman"/>
          <w:sz w:val="24"/>
          <w:szCs w:val="24"/>
        </w:rPr>
        <w:t>r</w:t>
      </w:r>
      <w:r w:rsidRPr="00197AFB">
        <w:rPr>
          <w:rFonts w:eastAsia="Times New Roman" w:cs="Times New Roman"/>
          <w:sz w:val="24"/>
          <w:szCs w:val="24"/>
        </w:rPr>
        <w:t xml:space="preserve">espondents to release </w:t>
      </w:r>
      <w:r>
        <w:rPr>
          <w:rFonts w:eastAsia="Times New Roman" w:cs="Times New Roman"/>
          <w:sz w:val="24"/>
          <w:szCs w:val="24"/>
        </w:rPr>
        <w:t>p</w:t>
      </w:r>
      <w:r w:rsidRPr="00197AFB">
        <w:rPr>
          <w:rFonts w:eastAsia="Times New Roman" w:cs="Times New Roman"/>
          <w:sz w:val="24"/>
          <w:szCs w:val="24"/>
        </w:rPr>
        <w:t>etitioner immediately</w:t>
      </w:r>
      <w:r>
        <w:rPr>
          <w:rFonts w:eastAsia="Times New Roman" w:cs="Times New Roman"/>
          <w:sz w:val="24"/>
          <w:szCs w:val="24"/>
        </w:rPr>
        <w:t>,</w:t>
      </w:r>
      <w:r w:rsidRPr="00197AFB">
        <w:rPr>
          <w:rFonts w:eastAsia="Times New Roman" w:cs="Times New Roman"/>
          <w:sz w:val="24"/>
          <w:szCs w:val="24"/>
        </w:rPr>
        <w:t xml:space="preserve"> on reasonable conditions of supervision</w:t>
      </w:r>
      <w:r>
        <w:rPr>
          <w:rFonts w:eastAsia="Times New Roman" w:cs="Times New Roman"/>
          <w:sz w:val="24"/>
          <w:szCs w:val="24"/>
        </w:rPr>
        <w:t xml:space="preserve"> if necessary</w:t>
      </w:r>
      <w:r w:rsidRPr="00197AFB">
        <w:rPr>
          <w:rFonts w:eastAsia="Times New Roman" w:cs="Times New Roman"/>
          <w:sz w:val="24"/>
          <w:szCs w:val="24"/>
        </w:rPr>
        <w:t>;</w:t>
      </w:r>
    </w:p>
    <w:p w14:paraId="1A802D8C" w14:textId="77777777" w:rsidR="00166C9B" w:rsidRPr="00197AFB" w:rsidRDefault="00166C9B" w:rsidP="00166C9B">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 xml:space="preserve">In the alternative, conduct a bond hearing or remand to the immigration judge for a bond hearing </w:t>
      </w:r>
      <w:r w:rsidRPr="00197AFB">
        <w:rPr>
          <w:sz w:val="24"/>
          <w:szCs w:val="24"/>
        </w:rPr>
        <w:t xml:space="preserve">at which </w:t>
      </w:r>
      <w:r w:rsidRPr="00197AFB">
        <w:rPr>
          <w:rFonts w:ascii="Times New Roman" w:eastAsia="Times New Roman" w:hAnsi="Times New Roman" w:cs="Times New Roman"/>
          <w:sz w:val="24"/>
          <w:szCs w:val="24"/>
        </w:rPr>
        <w:t xml:space="preserve">(1) the government bears the burden of proving flight risk and dangerousness by clear and convincing evidence and (2) alternatives to detention that could mitigate flight risk </w:t>
      </w:r>
      <w:r w:rsidRPr="00197AFB">
        <w:rPr>
          <w:rFonts w:eastAsia="Times New Roman" w:cs="Times New Roman"/>
          <w:sz w:val="24"/>
          <w:szCs w:val="24"/>
        </w:rPr>
        <w:t>are considered;</w:t>
      </w:r>
    </w:p>
    <w:p w14:paraId="42601E57" w14:textId="77777777" w:rsidR="00166C9B" w:rsidRPr="00197AFB" w:rsidRDefault="00166C9B" w:rsidP="00166C9B">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 xml:space="preserve">In the alternative, hold that </w:t>
      </w:r>
      <w:r>
        <w:rPr>
          <w:rFonts w:eastAsia="Times New Roman" w:cs="Times New Roman"/>
          <w:sz w:val="24"/>
          <w:szCs w:val="24"/>
        </w:rPr>
        <w:t>petitioner</w:t>
      </w:r>
      <w:r w:rsidRPr="00197AFB">
        <w:rPr>
          <w:rFonts w:eastAsia="Times New Roman" w:cs="Times New Roman"/>
          <w:sz w:val="24"/>
          <w:szCs w:val="24"/>
        </w:rPr>
        <w:t xml:space="preserve">’s detention is governed by 8 U.S.C. </w:t>
      </w:r>
      <w:r w:rsidRPr="00197AFB">
        <w:rPr>
          <w:rFonts w:ascii="Times New Roman" w:hAnsi="Times New Roman" w:cs="Times New Roman"/>
          <w:sz w:val="24"/>
          <w:szCs w:val="24"/>
        </w:rPr>
        <w:t xml:space="preserve">§ </w:t>
      </w:r>
      <w:r w:rsidRPr="00197AFB">
        <w:rPr>
          <w:rFonts w:eastAsia="Times New Roman" w:cs="Times New Roman"/>
          <w:sz w:val="24"/>
          <w:szCs w:val="24"/>
        </w:rPr>
        <w:t xml:space="preserve">1226(a), entitling </w:t>
      </w:r>
      <w:r>
        <w:rPr>
          <w:rFonts w:eastAsia="Times New Roman" w:cs="Times New Roman"/>
          <w:sz w:val="24"/>
          <w:szCs w:val="24"/>
        </w:rPr>
        <w:t>petitioner</w:t>
      </w:r>
      <w:r w:rsidRPr="00197AFB">
        <w:rPr>
          <w:rFonts w:eastAsia="Times New Roman" w:cs="Times New Roman"/>
          <w:sz w:val="24"/>
          <w:szCs w:val="24"/>
        </w:rPr>
        <w:t xml:space="preserve"> to a bond hearing upon request before an immigration judge; </w:t>
      </w:r>
    </w:p>
    <w:p w14:paraId="7C78B835" w14:textId="77777777" w:rsidR="00166C9B" w:rsidRPr="00197AFB" w:rsidRDefault="00166C9B" w:rsidP="00166C9B">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 xml:space="preserve">Award </w:t>
      </w:r>
      <w:r>
        <w:rPr>
          <w:rFonts w:eastAsia="Times New Roman" w:cs="Times New Roman"/>
          <w:sz w:val="24"/>
          <w:szCs w:val="24"/>
        </w:rPr>
        <w:t>p</w:t>
      </w:r>
      <w:r w:rsidRPr="00197AFB">
        <w:rPr>
          <w:rFonts w:eastAsia="Times New Roman" w:cs="Times New Roman"/>
          <w:sz w:val="24"/>
          <w:szCs w:val="24"/>
        </w:rPr>
        <w:t>etitioner his costs and reasonable attorneys’ fees in this action as provided for by the Equal Access to Justice Act, 28 U.S.C. § 2412, other statute; and</w:t>
      </w:r>
    </w:p>
    <w:p w14:paraId="3E3FC9D5" w14:textId="77777777" w:rsidR="00166C9B" w:rsidRPr="00197AFB" w:rsidRDefault="00166C9B" w:rsidP="00166C9B">
      <w:pPr>
        <w:pStyle w:val="ListParagraph"/>
        <w:numPr>
          <w:ilvl w:val="0"/>
          <w:numId w:val="34"/>
        </w:numPr>
        <w:spacing w:line="480" w:lineRule="auto"/>
        <w:rPr>
          <w:rFonts w:eastAsia="Times New Roman" w:cs="Times New Roman"/>
          <w:sz w:val="24"/>
          <w:szCs w:val="24"/>
        </w:rPr>
      </w:pPr>
      <w:r w:rsidRPr="00197AFB">
        <w:rPr>
          <w:rFonts w:eastAsia="Times New Roman" w:cs="Times New Roman"/>
          <w:sz w:val="24"/>
          <w:szCs w:val="24"/>
        </w:rPr>
        <w:t>Grant such further relief as the Court deems just and proper.</w:t>
      </w:r>
    </w:p>
    <w:p w14:paraId="302EBE88" w14:textId="77777777" w:rsidR="00166C9B" w:rsidRPr="00197AFB" w:rsidRDefault="00166C9B" w:rsidP="00166C9B">
      <w:pPr>
        <w:rPr>
          <w:sz w:val="24"/>
          <w:szCs w:val="24"/>
        </w:rPr>
      </w:pPr>
      <w:bookmarkStart w:id="6" w:name="SigBlock"/>
    </w:p>
    <w:p w14:paraId="0C502C32" w14:textId="77777777" w:rsidR="00166C9B" w:rsidRPr="00197AFB" w:rsidRDefault="00166C9B" w:rsidP="00166C9B">
      <w:pPr>
        <w:rPr>
          <w:sz w:val="24"/>
          <w:szCs w:val="24"/>
        </w:rPr>
      </w:pPr>
    </w:p>
    <w:p w14:paraId="7ABC23E5" w14:textId="77777777" w:rsidR="00166C9B" w:rsidRPr="00197AFB" w:rsidRDefault="00166C9B" w:rsidP="00166C9B">
      <w:pPr>
        <w:pStyle w:val="SigSignatureLine"/>
        <w:spacing w:line="240" w:lineRule="auto"/>
        <w:contextualSpacing/>
        <w:rPr>
          <w:sz w:val="24"/>
          <w:szCs w:val="24"/>
        </w:rPr>
      </w:pPr>
      <w:bookmarkStart w:id="7" w:name="ElectronicSignature"/>
      <w:bookmarkEnd w:id="7"/>
      <w:r w:rsidRPr="00197AFB">
        <w:rPr>
          <w:sz w:val="24"/>
          <w:szCs w:val="24"/>
        </w:rPr>
        <w:tab/>
      </w:r>
    </w:p>
    <w:p w14:paraId="1EBA0F11" w14:textId="77777777" w:rsidR="00166C9B" w:rsidRPr="00197AFB" w:rsidRDefault="00166C9B" w:rsidP="00166C9B">
      <w:pPr>
        <w:pStyle w:val="SigOfficeAddress"/>
        <w:spacing w:line="240" w:lineRule="auto"/>
        <w:contextualSpacing/>
        <w:rPr>
          <w:sz w:val="24"/>
          <w:szCs w:val="24"/>
        </w:rPr>
      </w:pPr>
    </w:p>
    <w:p w14:paraId="62E0B0DA" w14:textId="77777777" w:rsidR="00166C9B" w:rsidRPr="00197AFB" w:rsidRDefault="00166C9B" w:rsidP="00166C9B">
      <w:pPr>
        <w:pStyle w:val="SigOfficeAddress"/>
        <w:spacing w:line="240" w:lineRule="auto"/>
        <w:contextualSpacing/>
        <w:rPr>
          <w:sz w:val="24"/>
          <w:szCs w:val="24"/>
        </w:rPr>
      </w:pPr>
      <w:r>
        <w:rPr>
          <w:sz w:val="24"/>
          <w:szCs w:val="24"/>
        </w:rPr>
        <w:t>[Identifying information]</w:t>
      </w:r>
    </w:p>
    <w:p w14:paraId="60ED8571" w14:textId="77777777" w:rsidR="00166C9B" w:rsidRPr="00197AFB" w:rsidRDefault="00166C9B" w:rsidP="00166C9B">
      <w:pPr>
        <w:pStyle w:val="SigAttorneysFor"/>
        <w:spacing w:line="240" w:lineRule="auto"/>
        <w:contextualSpacing/>
        <w:rPr>
          <w:sz w:val="24"/>
          <w:szCs w:val="24"/>
        </w:rPr>
      </w:pPr>
      <w:r>
        <w:rPr>
          <w:sz w:val="24"/>
          <w:szCs w:val="24"/>
        </w:rPr>
        <w:t>Attorney</w:t>
      </w:r>
      <w:r w:rsidRPr="00197AFB">
        <w:rPr>
          <w:sz w:val="24"/>
          <w:szCs w:val="24"/>
        </w:rPr>
        <w:t xml:space="preserve"> for </w:t>
      </w:r>
      <w:bookmarkStart w:id="8" w:name="PartyBeingRepresented"/>
      <w:bookmarkEnd w:id="8"/>
      <w:r w:rsidRPr="00197AFB">
        <w:rPr>
          <w:sz w:val="24"/>
          <w:szCs w:val="24"/>
        </w:rPr>
        <w:t>Petitioner</w:t>
      </w:r>
    </w:p>
    <w:p w14:paraId="13252F9F" w14:textId="77777777" w:rsidR="00166C9B" w:rsidRPr="00197AFB" w:rsidRDefault="00166C9B" w:rsidP="00166C9B">
      <w:pPr>
        <w:pStyle w:val="PLDDate"/>
        <w:rPr>
          <w:sz w:val="24"/>
          <w:szCs w:val="24"/>
        </w:rPr>
      </w:pPr>
      <w:r w:rsidRPr="00197AFB">
        <w:rPr>
          <w:sz w:val="24"/>
          <w:szCs w:val="24"/>
        </w:rPr>
        <w:t>Dated:</w:t>
      </w:r>
      <w:r w:rsidRPr="00197AFB">
        <w:rPr>
          <w:sz w:val="24"/>
          <w:szCs w:val="24"/>
        </w:rPr>
        <w:tab/>
      </w:r>
      <w:bookmarkEnd w:id="6"/>
    </w:p>
    <w:p w14:paraId="3F66185D" w14:textId="2A2DF051" w:rsidR="00936FD1" w:rsidRPr="003A2DBD" w:rsidRDefault="00936FD1" w:rsidP="00166C9B">
      <w:pPr>
        <w:spacing w:line="480" w:lineRule="auto"/>
        <w:rPr>
          <w:sz w:val="24"/>
          <w:szCs w:val="24"/>
        </w:rPr>
      </w:pPr>
    </w:p>
    <w:sectPr w:rsidR="00936FD1" w:rsidRPr="003A2DBD" w:rsidSect="000964FB">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C1338" w14:textId="77777777" w:rsidR="003D42D1" w:rsidRDefault="003D42D1">
      <w:r>
        <w:separator/>
      </w:r>
    </w:p>
  </w:endnote>
  <w:endnote w:type="continuationSeparator" w:id="0">
    <w:p w14:paraId="71B3CC31" w14:textId="77777777" w:rsidR="003D42D1" w:rsidRDefault="003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1" w:usb1="08070000" w:usb2="00000010" w:usb3="00000000" w:csb0="00020000" w:csb1="00000000"/>
  </w:font>
  <w:font w:name="MS Gothic">
    <w:altName w:val="ＭＳ ゴシック"/>
    <w:panose1 w:val="020B0500000000000000"/>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3349" w14:textId="5445B22F" w:rsidR="00533C9C" w:rsidRDefault="00533C9C" w:rsidP="00936FD1">
    <w:pPr>
      <w:pStyle w:val="Footer"/>
    </w:pPr>
    <w:r>
      <w:tab/>
    </w:r>
    <w:r>
      <w:fldChar w:fldCharType="begin"/>
    </w:r>
    <w:r>
      <w:instrText xml:space="preserve"> PAGE   \* MERGEFORMAT </w:instrText>
    </w:r>
    <w:r>
      <w:fldChar w:fldCharType="separate"/>
    </w:r>
    <w:r w:rsidR="00B55DC4">
      <w:rPr>
        <w:noProof/>
      </w:rPr>
      <w:t>2</w:t>
    </w:r>
    <w:r>
      <w:rPr>
        <w:noProof/>
      </w:rPr>
      <w:fldChar w:fldCharType="end"/>
    </w:r>
  </w:p>
  <w:p w14:paraId="61C2727A" w14:textId="77777777" w:rsidR="00533C9C" w:rsidRPr="00911FE4" w:rsidRDefault="00533C9C" w:rsidP="00936FD1">
    <w:pPr>
      <w:pStyle w:val="Footer"/>
      <w:rPr>
        <w:rStyle w:val="DocID"/>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0DA6" w14:textId="5436A8D3" w:rsidR="00533C9C" w:rsidRPr="00911FE4" w:rsidRDefault="00533C9C" w:rsidP="00936FD1">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B55DC4">
      <w:rPr>
        <w:noProof/>
        <w:sz w:val="20"/>
      </w:rPr>
      <w:instrText>21</w:instrText>
    </w:r>
    <w:r>
      <w:rPr>
        <w:sz w:val="20"/>
      </w:rPr>
      <w:fldChar w:fldCharType="end"/>
    </w:r>
    <w:r>
      <w:rPr>
        <w:sz w:val="20"/>
      </w:rPr>
      <w:instrText xml:space="preserve"> = 1 </w:instrText>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CF78A" w14:textId="77777777" w:rsidR="003D42D1" w:rsidRDefault="003D42D1">
      <w:r>
        <w:separator/>
      </w:r>
    </w:p>
  </w:footnote>
  <w:footnote w:type="continuationSeparator" w:id="0">
    <w:p w14:paraId="4CA55A43" w14:textId="77777777" w:rsidR="003D42D1" w:rsidRDefault="003D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0AFD5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2" w15:restartNumberingAfterBreak="0">
    <w:nsid w:val="FFFFFF80"/>
    <w:multiLevelType w:val="singleLevel"/>
    <w:tmpl w:val="8800E426"/>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521C769C"/>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6BAEA52"/>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7"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18433A"/>
    <w:multiLevelType w:val="hybridMultilevel"/>
    <w:tmpl w:val="68A87FEE"/>
    <w:lvl w:ilvl="0" w:tplc="0BB44FF4">
      <w:start w:val="1"/>
      <w:numFmt w:val="upperLetter"/>
      <w:lvlText w:val="%1."/>
      <w:lvlJc w:val="left"/>
      <w:pPr>
        <w:tabs>
          <w:tab w:val="num" w:pos="1080"/>
        </w:tabs>
        <w:ind w:left="0" w:firstLine="720"/>
      </w:pPr>
      <w:rPr>
        <w:rFonts w:hint="default"/>
      </w:rPr>
    </w:lvl>
    <w:lvl w:ilvl="1" w:tplc="98A4699C" w:tentative="1">
      <w:start w:val="1"/>
      <w:numFmt w:val="lowerLetter"/>
      <w:lvlText w:val="%2."/>
      <w:lvlJc w:val="left"/>
      <w:pPr>
        <w:ind w:left="1440" w:hanging="360"/>
      </w:pPr>
    </w:lvl>
    <w:lvl w:ilvl="2" w:tplc="05AE4CEA" w:tentative="1">
      <w:start w:val="1"/>
      <w:numFmt w:val="lowerRoman"/>
      <w:lvlText w:val="%3."/>
      <w:lvlJc w:val="right"/>
      <w:pPr>
        <w:ind w:left="2160" w:hanging="180"/>
      </w:pPr>
    </w:lvl>
    <w:lvl w:ilvl="3" w:tplc="FACCF4FA" w:tentative="1">
      <w:start w:val="1"/>
      <w:numFmt w:val="decimal"/>
      <w:lvlText w:val="%4."/>
      <w:lvlJc w:val="left"/>
      <w:pPr>
        <w:ind w:left="2880" w:hanging="360"/>
      </w:pPr>
    </w:lvl>
    <w:lvl w:ilvl="4" w:tplc="E5FA490C" w:tentative="1">
      <w:start w:val="1"/>
      <w:numFmt w:val="lowerLetter"/>
      <w:lvlText w:val="%5."/>
      <w:lvlJc w:val="left"/>
      <w:pPr>
        <w:ind w:left="3600" w:hanging="360"/>
      </w:pPr>
    </w:lvl>
    <w:lvl w:ilvl="5" w:tplc="E2A45400" w:tentative="1">
      <w:start w:val="1"/>
      <w:numFmt w:val="lowerRoman"/>
      <w:lvlText w:val="%6."/>
      <w:lvlJc w:val="right"/>
      <w:pPr>
        <w:ind w:left="4320" w:hanging="180"/>
      </w:pPr>
    </w:lvl>
    <w:lvl w:ilvl="6" w:tplc="19984868" w:tentative="1">
      <w:start w:val="1"/>
      <w:numFmt w:val="decimal"/>
      <w:lvlText w:val="%7."/>
      <w:lvlJc w:val="left"/>
      <w:pPr>
        <w:ind w:left="5040" w:hanging="360"/>
      </w:pPr>
    </w:lvl>
    <w:lvl w:ilvl="7" w:tplc="1E7E0E46" w:tentative="1">
      <w:start w:val="1"/>
      <w:numFmt w:val="lowerLetter"/>
      <w:lvlText w:val="%8."/>
      <w:lvlJc w:val="left"/>
      <w:pPr>
        <w:ind w:left="5760" w:hanging="360"/>
      </w:pPr>
    </w:lvl>
    <w:lvl w:ilvl="8" w:tplc="E9669012" w:tentative="1">
      <w:start w:val="1"/>
      <w:numFmt w:val="lowerRoman"/>
      <w:lvlText w:val="%9."/>
      <w:lvlJc w:val="right"/>
      <w:pPr>
        <w:ind w:left="6480" w:hanging="180"/>
      </w:pPr>
    </w:lvl>
  </w:abstractNum>
  <w:abstractNum w:abstractNumId="9" w15:restartNumberingAfterBreak="0">
    <w:nsid w:val="0464280F"/>
    <w:multiLevelType w:val="hybridMultilevel"/>
    <w:tmpl w:val="EDC05CD8"/>
    <w:lvl w:ilvl="0" w:tplc="D27EA9E4">
      <w:start w:val="1"/>
      <w:numFmt w:val="upperLetter"/>
      <w:lvlText w:val="%1."/>
      <w:lvlJc w:val="left"/>
      <w:pPr>
        <w:ind w:left="720" w:hanging="360"/>
      </w:pPr>
    </w:lvl>
    <w:lvl w:ilvl="1" w:tplc="321EF840" w:tentative="1">
      <w:start w:val="1"/>
      <w:numFmt w:val="lowerLetter"/>
      <w:lvlText w:val="%2."/>
      <w:lvlJc w:val="left"/>
      <w:pPr>
        <w:ind w:left="1440" w:hanging="360"/>
      </w:pPr>
    </w:lvl>
    <w:lvl w:ilvl="2" w:tplc="7BD63EA0" w:tentative="1">
      <w:start w:val="1"/>
      <w:numFmt w:val="lowerRoman"/>
      <w:lvlText w:val="%3."/>
      <w:lvlJc w:val="right"/>
      <w:pPr>
        <w:ind w:left="2160" w:hanging="180"/>
      </w:pPr>
    </w:lvl>
    <w:lvl w:ilvl="3" w:tplc="0CA6BD1A" w:tentative="1">
      <w:start w:val="1"/>
      <w:numFmt w:val="decimal"/>
      <w:lvlText w:val="%4."/>
      <w:lvlJc w:val="left"/>
      <w:pPr>
        <w:ind w:left="2880" w:hanging="360"/>
      </w:pPr>
    </w:lvl>
    <w:lvl w:ilvl="4" w:tplc="2BE8C34E" w:tentative="1">
      <w:start w:val="1"/>
      <w:numFmt w:val="lowerLetter"/>
      <w:lvlText w:val="%5."/>
      <w:lvlJc w:val="left"/>
      <w:pPr>
        <w:ind w:left="3600" w:hanging="360"/>
      </w:pPr>
    </w:lvl>
    <w:lvl w:ilvl="5" w:tplc="00B21552" w:tentative="1">
      <w:start w:val="1"/>
      <w:numFmt w:val="lowerRoman"/>
      <w:lvlText w:val="%6."/>
      <w:lvlJc w:val="right"/>
      <w:pPr>
        <w:ind w:left="4320" w:hanging="180"/>
      </w:pPr>
    </w:lvl>
    <w:lvl w:ilvl="6" w:tplc="349A4182" w:tentative="1">
      <w:start w:val="1"/>
      <w:numFmt w:val="decimal"/>
      <w:lvlText w:val="%7."/>
      <w:lvlJc w:val="left"/>
      <w:pPr>
        <w:ind w:left="5040" w:hanging="360"/>
      </w:pPr>
    </w:lvl>
    <w:lvl w:ilvl="7" w:tplc="A814B2C0" w:tentative="1">
      <w:start w:val="1"/>
      <w:numFmt w:val="lowerLetter"/>
      <w:lvlText w:val="%8."/>
      <w:lvlJc w:val="left"/>
      <w:pPr>
        <w:ind w:left="5760" w:hanging="360"/>
      </w:pPr>
    </w:lvl>
    <w:lvl w:ilvl="8" w:tplc="F670C8C6" w:tentative="1">
      <w:start w:val="1"/>
      <w:numFmt w:val="lowerRoman"/>
      <w:lvlText w:val="%9."/>
      <w:lvlJc w:val="right"/>
      <w:pPr>
        <w:ind w:left="6480" w:hanging="180"/>
      </w:pPr>
    </w:lvl>
  </w:abstractNum>
  <w:abstractNum w:abstractNumId="10" w15:restartNumberingAfterBreak="0">
    <w:nsid w:val="07587DF6"/>
    <w:multiLevelType w:val="hybridMultilevel"/>
    <w:tmpl w:val="EB049B4A"/>
    <w:lvl w:ilvl="0" w:tplc="CCAC5F84">
      <w:start w:val="1"/>
      <w:numFmt w:val="upperLetter"/>
      <w:lvlText w:val="%1."/>
      <w:lvlJc w:val="left"/>
      <w:pPr>
        <w:tabs>
          <w:tab w:val="num" w:pos="1080"/>
        </w:tabs>
        <w:ind w:left="0" w:firstLine="720"/>
      </w:pPr>
      <w:rPr>
        <w:rFonts w:hint="default"/>
        <w:b/>
        <w:i w:val="0"/>
      </w:rPr>
    </w:lvl>
    <w:lvl w:ilvl="1" w:tplc="D1265188" w:tentative="1">
      <w:start w:val="1"/>
      <w:numFmt w:val="lowerLetter"/>
      <w:lvlText w:val="%2."/>
      <w:lvlJc w:val="left"/>
      <w:pPr>
        <w:ind w:left="1440" w:hanging="360"/>
      </w:pPr>
    </w:lvl>
    <w:lvl w:ilvl="2" w:tplc="5D248424" w:tentative="1">
      <w:start w:val="1"/>
      <w:numFmt w:val="lowerRoman"/>
      <w:lvlText w:val="%3."/>
      <w:lvlJc w:val="right"/>
      <w:pPr>
        <w:ind w:left="2160" w:hanging="180"/>
      </w:pPr>
    </w:lvl>
    <w:lvl w:ilvl="3" w:tplc="007CFC68" w:tentative="1">
      <w:start w:val="1"/>
      <w:numFmt w:val="decimal"/>
      <w:lvlText w:val="%4."/>
      <w:lvlJc w:val="left"/>
      <w:pPr>
        <w:ind w:left="2880" w:hanging="360"/>
      </w:pPr>
    </w:lvl>
    <w:lvl w:ilvl="4" w:tplc="AFB0A4B6" w:tentative="1">
      <w:start w:val="1"/>
      <w:numFmt w:val="lowerLetter"/>
      <w:lvlText w:val="%5."/>
      <w:lvlJc w:val="left"/>
      <w:pPr>
        <w:ind w:left="3600" w:hanging="360"/>
      </w:pPr>
    </w:lvl>
    <w:lvl w:ilvl="5" w:tplc="57408F68" w:tentative="1">
      <w:start w:val="1"/>
      <w:numFmt w:val="lowerRoman"/>
      <w:lvlText w:val="%6."/>
      <w:lvlJc w:val="right"/>
      <w:pPr>
        <w:ind w:left="4320" w:hanging="180"/>
      </w:pPr>
    </w:lvl>
    <w:lvl w:ilvl="6" w:tplc="EDAA1A2A" w:tentative="1">
      <w:start w:val="1"/>
      <w:numFmt w:val="decimal"/>
      <w:lvlText w:val="%7."/>
      <w:lvlJc w:val="left"/>
      <w:pPr>
        <w:ind w:left="5040" w:hanging="360"/>
      </w:pPr>
    </w:lvl>
    <w:lvl w:ilvl="7" w:tplc="3850E1C0" w:tentative="1">
      <w:start w:val="1"/>
      <w:numFmt w:val="lowerLetter"/>
      <w:lvlText w:val="%8."/>
      <w:lvlJc w:val="left"/>
      <w:pPr>
        <w:ind w:left="5760" w:hanging="360"/>
      </w:pPr>
    </w:lvl>
    <w:lvl w:ilvl="8" w:tplc="07E64C1C" w:tentative="1">
      <w:start w:val="1"/>
      <w:numFmt w:val="lowerRoman"/>
      <w:lvlText w:val="%9."/>
      <w:lvlJc w:val="right"/>
      <w:pPr>
        <w:ind w:left="6480" w:hanging="180"/>
      </w:pPr>
    </w:lvl>
  </w:abstractNum>
  <w:abstractNum w:abstractNumId="11" w15:restartNumberingAfterBreak="0">
    <w:nsid w:val="0BAE3699"/>
    <w:multiLevelType w:val="hybridMultilevel"/>
    <w:tmpl w:val="3F589A60"/>
    <w:lvl w:ilvl="0" w:tplc="61C6601A">
      <w:start w:val="1"/>
      <w:numFmt w:val="decimal"/>
      <w:lvlText w:val="%1."/>
      <w:lvlJc w:val="left"/>
      <w:pPr>
        <w:tabs>
          <w:tab w:val="num" w:pos="720"/>
        </w:tabs>
        <w:ind w:left="720" w:hanging="720"/>
      </w:pPr>
      <w:rPr>
        <w:rFonts w:hint="default"/>
        <w:b w:val="0"/>
        <w:i w:val="0"/>
        <w:sz w:val="24"/>
        <w:szCs w:val="24"/>
      </w:rPr>
    </w:lvl>
    <w:lvl w:ilvl="1" w:tplc="485A19B6" w:tentative="1">
      <w:start w:val="1"/>
      <w:numFmt w:val="lowerLetter"/>
      <w:lvlText w:val="%2."/>
      <w:lvlJc w:val="left"/>
      <w:pPr>
        <w:tabs>
          <w:tab w:val="num" w:pos="1440"/>
        </w:tabs>
        <w:ind w:left="1440" w:hanging="360"/>
      </w:pPr>
    </w:lvl>
    <w:lvl w:ilvl="2" w:tplc="A9327032" w:tentative="1">
      <w:start w:val="1"/>
      <w:numFmt w:val="lowerRoman"/>
      <w:lvlText w:val="%3."/>
      <w:lvlJc w:val="right"/>
      <w:pPr>
        <w:tabs>
          <w:tab w:val="num" w:pos="2160"/>
        </w:tabs>
        <w:ind w:left="2160" w:hanging="180"/>
      </w:pPr>
    </w:lvl>
    <w:lvl w:ilvl="3" w:tplc="9A2AE676" w:tentative="1">
      <w:start w:val="1"/>
      <w:numFmt w:val="decimal"/>
      <w:lvlText w:val="%4."/>
      <w:lvlJc w:val="left"/>
      <w:pPr>
        <w:tabs>
          <w:tab w:val="num" w:pos="2880"/>
        </w:tabs>
        <w:ind w:left="2880" w:hanging="360"/>
      </w:pPr>
    </w:lvl>
    <w:lvl w:ilvl="4" w:tplc="D362F4A4" w:tentative="1">
      <w:start w:val="1"/>
      <w:numFmt w:val="lowerLetter"/>
      <w:lvlText w:val="%5."/>
      <w:lvlJc w:val="left"/>
      <w:pPr>
        <w:tabs>
          <w:tab w:val="num" w:pos="3600"/>
        </w:tabs>
        <w:ind w:left="3600" w:hanging="360"/>
      </w:pPr>
    </w:lvl>
    <w:lvl w:ilvl="5" w:tplc="D878FBB0" w:tentative="1">
      <w:start w:val="1"/>
      <w:numFmt w:val="lowerRoman"/>
      <w:lvlText w:val="%6."/>
      <w:lvlJc w:val="right"/>
      <w:pPr>
        <w:tabs>
          <w:tab w:val="num" w:pos="4320"/>
        </w:tabs>
        <w:ind w:left="4320" w:hanging="180"/>
      </w:pPr>
    </w:lvl>
    <w:lvl w:ilvl="6" w:tplc="26005956" w:tentative="1">
      <w:start w:val="1"/>
      <w:numFmt w:val="decimal"/>
      <w:lvlText w:val="%7."/>
      <w:lvlJc w:val="left"/>
      <w:pPr>
        <w:tabs>
          <w:tab w:val="num" w:pos="5040"/>
        </w:tabs>
        <w:ind w:left="5040" w:hanging="360"/>
      </w:pPr>
    </w:lvl>
    <w:lvl w:ilvl="7" w:tplc="B0EAAAAA" w:tentative="1">
      <w:start w:val="1"/>
      <w:numFmt w:val="lowerLetter"/>
      <w:lvlText w:val="%8."/>
      <w:lvlJc w:val="left"/>
      <w:pPr>
        <w:tabs>
          <w:tab w:val="num" w:pos="5760"/>
        </w:tabs>
        <w:ind w:left="5760" w:hanging="360"/>
      </w:pPr>
    </w:lvl>
    <w:lvl w:ilvl="8" w:tplc="DFBA9AAA" w:tentative="1">
      <w:start w:val="1"/>
      <w:numFmt w:val="lowerRoman"/>
      <w:lvlText w:val="%9."/>
      <w:lvlJc w:val="right"/>
      <w:pPr>
        <w:tabs>
          <w:tab w:val="num" w:pos="6480"/>
        </w:tabs>
        <w:ind w:left="6480" w:hanging="180"/>
      </w:pPr>
    </w:lvl>
  </w:abstractNum>
  <w:abstractNum w:abstractNumId="12" w15:restartNumberingAfterBreak="0">
    <w:nsid w:val="0C334021"/>
    <w:multiLevelType w:val="hybridMultilevel"/>
    <w:tmpl w:val="A62C8AA6"/>
    <w:lvl w:ilvl="0" w:tplc="1860642A">
      <w:start w:val="1"/>
      <w:numFmt w:val="lowerLetter"/>
      <w:lvlText w:val="%1."/>
      <w:lvlJc w:val="left"/>
      <w:pPr>
        <w:tabs>
          <w:tab w:val="num" w:pos="1080"/>
        </w:tabs>
        <w:ind w:left="0" w:firstLine="720"/>
      </w:pPr>
      <w:rPr>
        <w:rFonts w:hint="default"/>
      </w:rPr>
    </w:lvl>
    <w:lvl w:ilvl="1" w:tplc="32EAA7DC" w:tentative="1">
      <w:start w:val="1"/>
      <w:numFmt w:val="lowerLetter"/>
      <w:lvlText w:val="%2."/>
      <w:lvlJc w:val="left"/>
      <w:pPr>
        <w:ind w:left="1440" w:hanging="360"/>
      </w:pPr>
    </w:lvl>
    <w:lvl w:ilvl="2" w:tplc="49349E16" w:tentative="1">
      <w:start w:val="1"/>
      <w:numFmt w:val="lowerRoman"/>
      <w:lvlText w:val="%3."/>
      <w:lvlJc w:val="right"/>
      <w:pPr>
        <w:ind w:left="2160" w:hanging="180"/>
      </w:pPr>
    </w:lvl>
    <w:lvl w:ilvl="3" w:tplc="3EB62456" w:tentative="1">
      <w:start w:val="1"/>
      <w:numFmt w:val="decimal"/>
      <w:lvlText w:val="%4."/>
      <w:lvlJc w:val="left"/>
      <w:pPr>
        <w:ind w:left="2880" w:hanging="360"/>
      </w:pPr>
    </w:lvl>
    <w:lvl w:ilvl="4" w:tplc="82847388" w:tentative="1">
      <w:start w:val="1"/>
      <w:numFmt w:val="lowerLetter"/>
      <w:lvlText w:val="%5."/>
      <w:lvlJc w:val="left"/>
      <w:pPr>
        <w:ind w:left="3600" w:hanging="360"/>
      </w:pPr>
    </w:lvl>
    <w:lvl w:ilvl="5" w:tplc="8C74B3AC" w:tentative="1">
      <w:start w:val="1"/>
      <w:numFmt w:val="lowerRoman"/>
      <w:lvlText w:val="%6."/>
      <w:lvlJc w:val="right"/>
      <w:pPr>
        <w:ind w:left="4320" w:hanging="180"/>
      </w:pPr>
    </w:lvl>
    <w:lvl w:ilvl="6" w:tplc="7550E9BE" w:tentative="1">
      <w:start w:val="1"/>
      <w:numFmt w:val="decimal"/>
      <w:lvlText w:val="%7."/>
      <w:lvlJc w:val="left"/>
      <w:pPr>
        <w:ind w:left="5040" w:hanging="360"/>
      </w:pPr>
    </w:lvl>
    <w:lvl w:ilvl="7" w:tplc="D7F8EFE0" w:tentative="1">
      <w:start w:val="1"/>
      <w:numFmt w:val="lowerLetter"/>
      <w:lvlText w:val="%8."/>
      <w:lvlJc w:val="left"/>
      <w:pPr>
        <w:ind w:left="5760" w:hanging="360"/>
      </w:pPr>
    </w:lvl>
    <w:lvl w:ilvl="8" w:tplc="0AF25CB0" w:tentative="1">
      <w:start w:val="1"/>
      <w:numFmt w:val="lowerRoman"/>
      <w:lvlText w:val="%9."/>
      <w:lvlJc w:val="right"/>
      <w:pPr>
        <w:ind w:left="6480" w:hanging="180"/>
      </w:pPr>
    </w:lvl>
  </w:abstractNum>
  <w:abstractNum w:abstractNumId="13" w15:restartNumberingAfterBreak="0">
    <w:nsid w:val="0E963C8E"/>
    <w:multiLevelType w:val="hybridMultilevel"/>
    <w:tmpl w:val="02A84288"/>
    <w:lvl w:ilvl="0" w:tplc="DFCC3F18">
      <w:start w:val="1"/>
      <w:numFmt w:val="decimal"/>
      <w:lvlText w:val="%1."/>
      <w:lvlJc w:val="left"/>
      <w:pPr>
        <w:tabs>
          <w:tab w:val="num" w:pos="720"/>
        </w:tabs>
        <w:ind w:left="720" w:hanging="720"/>
      </w:pPr>
      <w:rPr>
        <w:rFonts w:hint="default"/>
      </w:rPr>
    </w:lvl>
    <w:lvl w:ilvl="1" w:tplc="D20228EC" w:tentative="1">
      <w:start w:val="1"/>
      <w:numFmt w:val="lowerLetter"/>
      <w:lvlText w:val="%2."/>
      <w:lvlJc w:val="left"/>
      <w:pPr>
        <w:ind w:left="1440" w:hanging="360"/>
      </w:pPr>
    </w:lvl>
    <w:lvl w:ilvl="2" w:tplc="63FAF6F0" w:tentative="1">
      <w:start w:val="1"/>
      <w:numFmt w:val="lowerRoman"/>
      <w:lvlText w:val="%3."/>
      <w:lvlJc w:val="right"/>
      <w:pPr>
        <w:ind w:left="2160" w:hanging="180"/>
      </w:pPr>
    </w:lvl>
    <w:lvl w:ilvl="3" w:tplc="E3DCF70A" w:tentative="1">
      <w:start w:val="1"/>
      <w:numFmt w:val="decimal"/>
      <w:lvlText w:val="%4."/>
      <w:lvlJc w:val="left"/>
      <w:pPr>
        <w:ind w:left="2880" w:hanging="360"/>
      </w:pPr>
    </w:lvl>
    <w:lvl w:ilvl="4" w:tplc="C9A8E3F0" w:tentative="1">
      <w:start w:val="1"/>
      <w:numFmt w:val="lowerLetter"/>
      <w:lvlText w:val="%5."/>
      <w:lvlJc w:val="left"/>
      <w:pPr>
        <w:ind w:left="3600" w:hanging="360"/>
      </w:pPr>
    </w:lvl>
    <w:lvl w:ilvl="5" w:tplc="1B26E442" w:tentative="1">
      <w:start w:val="1"/>
      <w:numFmt w:val="lowerRoman"/>
      <w:lvlText w:val="%6."/>
      <w:lvlJc w:val="right"/>
      <w:pPr>
        <w:ind w:left="4320" w:hanging="180"/>
      </w:pPr>
    </w:lvl>
    <w:lvl w:ilvl="6" w:tplc="5B6EFA9A" w:tentative="1">
      <w:start w:val="1"/>
      <w:numFmt w:val="decimal"/>
      <w:lvlText w:val="%7."/>
      <w:lvlJc w:val="left"/>
      <w:pPr>
        <w:ind w:left="5040" w:hanging="360"/>
      </w:pPr>
    </w:lvl>
    <w:lvl w:ilvl="7" w:tplc="772677E6" w:tentative="1">
      <w:start w:val="1"/>
      <w:numFmt w:val="lowerLetter"/>
      <w:lvlText w:val="%8."/>
      <w:lvlJc w:val="left"/>
      <w:pPr>
        <w:ind w:left="5760" w:hanging="360"/>
      </w:pPr>
    </w:lvl>
    <w:lvl w:ilvl="8" w:tplc="34FE672C" w:tentative="1">
      <w:start w:val="1"/>
      <w:numFmt w:val="lowerRoman"/>
      <w:lvlText w:val="%9."/>
      <w:lvlJc w:val="right"/>
      <w:pPr>
        <w:ind w:left="6480" w:hanging="180"/>
      </w:pPr>
    </w:lvl>
  </w:abstractNum>
  <w:abstractNum w:abstractNumId="14" w15:restartNumberingAfterBreak="0">
    <w:nsid w:val="12DA5F02"/>
    <w:multiLevelType w:val="hybridMultilevel"/>
    <w:tmpl w:val="E334E276"/>
    <w:lvl w:ilvl="0" w:tplc="2B92CF88">
      <w:start w:val="1"/>
      <w:numFmt w:val="decimal"/>
      <w:pStyle w:val="ListNumberB"/>
      <w:lvlText w:val="%1."/>
      <w:lvlJc w:val="left"/>
      <w:pPr>
        <w:tabs>
          <w:tab w:val="num" w:pos="1080"/>
        </w:tabs>
        <w:ind w:left="0" w:firstLine="720"/>
      </w:pPr>
      <w:rPr>
        <w:rFonts w:hint="default"/>
        <w:b/>
        <w:i w:val="0"/>
      </w:rPr>
    </w:lvl>
    <w:lvl w:ilvl="1" w:tplc="2F2403AA" w:tentative="1">
      <w:start w:val="1"/>
      <w:numFmt w:val="lowerLetter"/>
      <w:lvlText w:val="%2."/>
      <w:lvlJc w:val="left"/>
      <w:pPr>
        <w:ind w:left="1440" w:hanging="360"/>
      </w:pPr>
    </w:lvl>
    <w:lvl w:ilvl="2" w:tplc="C852AD4E" w:tentative="1">
      <w:start w:val="1"/>
      <w:numFmt w:val="lowerRoman"/>
      <w:lvlText w:val="%3."/>
      <w:lvlJc w:val="right"/>
      <w:pPr>
        <w:ind w:left="2160" w:hanging="180"/>
      </w:pPr>
    </w:lvl>
    <w:lvl w:ilvl="3" w:tplc="30A0F36A" w:tentative="1">
      <w:start w:val="1"/>
      <w:numFmt w:val="decimal"/>
      <w:lvlText w:val="%4."/>
      <w:lvlJc w:val="left"/>
      <w:pPr>
        <w:ind w:left="2880" w:hanging="360"/>
      </w:pPr>
    </w:lvl>
    <w:lvl w:ilvl="4" w:tplc="D4509452" w:tentative="1">
      <w:start w:val="1"/>
      <w:numFmt w:val="lowerLetter"/>
      <w:lvlText w:val="%5."/>
      <w:lvlJc w:val="left"/>
      <w:pPr>
        <w:ind w:left="3600" w:hanging="360"/>
      </w:pPr>
    </w:lvl>
    <w:lvl w:ilvl="5" w:tplc="AB6A725C" w:tentative="1">
      <w:start w:val="1"/>
      <w:numFmt w:val="lowerRoman"/>
      <w:lvlText w:val="%6."/>
      <w:lvlJc w:val="right"/>
      <w:pPr>
        <w:ind w:left="4320" w:hanging="180"/>
      </w:pPr>
    </w:lvl>
    <w:lvl w:ilvl="6" w:tplc="B668552A" w:tentative="1">
      <w:start w:val="1"/>
      <w:numFmt w:val="decimal"/>
      <w:lvlText w:val="%7."/>
      <w:lvlJc w:val="left"/>
      <w:pPr>
        <w:ind w:left="5040" w:hanging="360"/>
      </w:pPr>
    </w:lvl>
    <w:lvl w:ilvl="7" w:tplc="C66E25DA" w:tentative="1">
      <w:start w:val="1"/>
      <w:numFmt w:val="lowerLetter"/>
      <w:lvlText w:val="%8."/>
      <w:lvlJc w:val="left"/>
      <w:pPr>
        <w:ind w:left="5760" w:hanging="360"/>
      </w:pPr>
    </w:lvl>
    <w:lvl w:ilvl="8" w:tplc="8850F95C" w:tentative="1">
      <w:start w:val="1"/>
      <w:numFmt w:val="lowerRoman"/>
      <w:lvlText w:val="%9."/>
      <w:lvlJc w:val="right"/>
      <w:pPr>
        <w:ind w:left="6480" w:hanging="180"/>
      </w:pPr>
    </w:lvl>
  </w:abstractNum>
  <w:abstractNum w:abstractNumId="15" w15:restartNumberingAfterBreak="0">
    <w:nsid w:val="20B90BCA"/>
    <w:multiLevelType w:val="hybridMultilevel"/>
    <w:tmpl w:val="89CE1388"/>
    <w:lvl w:ilvl="0" w:tplc="092E67E4">
      <w:start w:val="1"/>
      <w:numFmt w:val="decimal"/>
      <w:pStyle w:val="List"/>
      <w:lvlText w:val="%1."/>
      <w:lvlJc w:val="left"/>
      <w:pPr>
        <w:tabs>
          <w:tab w:val="num" w:pos="720"/>
        </w:tabs>
        <w:ind w:left="720" w:hanging="720"/>
      </w:pPr>
      <w:rPr>
        <w:rFonts w:hint="default"/>
      </w:rPr>
    </w:lvl>
    <w:lvl w:ilvl="1" w:tplc="28CECA88" w:tentative="1">
      <w:start w:val="1"/>
      <w:numFmt w:val="lowerLetter"/>
      <w:lvlText w:val="%2."/>
      <w:lvlJc w:val="left"/>
      <w:pPr>
        <w:ind w:left="1440" w:hanging="360"/>
      </w:pPr>
    </w:lvl>
    <w:lvl w:ilvl="2" w:tplc="5F86138A" w:tentative="1">
      <w:start w:val="1"/>
      <w:numFmt w:val="lowerRoman"/>
      <w:lvlText w:val="%3."/>
      <w:lvlJc w:val="right"/>
      <w:pPr>
        <w:ind w:left="2160" w:hanging="180"/>
      </w:pPr>
    </w:lvl>
    <w:lvl w:ilvl="3" w:tplc="D4927A50" w:tentative="1">
      <w:start w:val="1"/>
      <w:numFmt w:val="decimal"/>
      <w:lvlText w:val="%4."/>
      <w:lvlJc w:val="left"/>
      <w:pPr>
        <w:ind w:left="2880" w:hanging="360"/>
      </w:pPr>
    </w:lvl>
    <w:lvl w:ilvl="4" w:tplc="C130DFA4" w:tentative="1">
      <w:start w:val="1"/>
      <w:numFmt w:val="lowerLetter"/>
      <w:lvlText w:val="%5."/>
      <w:lvlJc w:val="left"/>
      <w:pPr>
        <w:ind w:left="3600" w:hanging="360"/>
      </w:pPr>
    </w:lvl>
    <w:lvl w:ilvl="5" w:tplc="3580FF9E" w:tentative="1">
      <w:start w:val="1"/>
      <w:numFmt w:val="lowerRoman"/>
      <w:lvlText w:val="%6."/>
      <w:lvlJc w:val="right"/>
      <w:pPr>
        <w:ind w:left="4320" w:hanging="180"/>
      </w:pPr>
    </w:lvl>
    <w:lvl w:ilvl="6" w:tplc="E8FA4010" w:tentative="1">
      <w:start w:val="1"/>
      <w:numFmt w:val="decimal"/>
      <w:lvlText w:val="%7."/>
      <w:lvlJc w:val="left"/>
      <w:pPr>
        <w:ind w:left="5040" w:hanging="360"/>
      </w:pPr>
    </w:lvl>
    <w:lvl w:ilvl="7" w:tplc="1F34688A" w:tentative="1">
      <w:start w:val="1"/>
      <w:numFmt w:val="lowerLetter"/>
      <w:lvlText w:val="%8."/>
      <w:lvlJc w:val="left"/>
      <w:pPr>
        <w:ind w:left="5760" w:hanging="360"/>
      </w:pPr>
    </w:lvl>
    <w:lvl w:ilvl="8" w:tplc="0F6E3C1A" w:tentative="1">
      <w:start w:val="1"/>
      <w:numFmt w:val="lowerRoman"/>
      <w:lvlText w:val="%9."/>
      <w:lvlJc w:val="right"/>
      <w:pPr>
        <w:ind w:left="6480" w:hanging="180"/>
      </w:pPr>
    </w:lvl>
  </w:abstractNum>
  <w:abstractNum w:abstractNumId="16" w15:restartNumberingAfterBreak="0">
    <w:nsid w:val="251D7BC2"/>
    <w:multiLevelType w:val="hybridMultilevel"/>
    <w:tmpl w:val="1E6EC06E"/>
    <w:lvl w:ilvl="0" w:tplc="6798BDAC">
      <w:start w:val="1"/>
      <w:numFmt w:val="lowerLetter"/>
      <w:lvlText w:val="%1."/>
      <w:lvlJc w:val="left"/>
      <w:pPr>
        <w:tabs>
          <w:tab w:val="num" w:pos="1080"/>
        </w:tabs>
        <w:ind w:left="0" w:firstLine="720"/>
      </w:pPr>
      <w:rPr>
        <w:rFonts w:hint="default"/>
      </w:rPr>
    </w:lvl>
    <w:lvl w:ilvl="1" w:tplc="1AFC8FF0" w:tentative="1">
      <w:start w:val="1"/>
      <w:numFmt w:val="lowerLetter"/>
      <w:lvlText w:val="%2."/>
      <w:lvlJc w:val="left"/>
      <w:pPr>
        <w:ind w:left="1440" w:hanging="360"/>
      </w:pPr>
    </w:lvl>
    <w:lvl w:ilvl="2" w:tplc="648EFE18" w:tentative="1">
      <w:start w:val="1"/>
      <w:numFmt w:val="lowerRoman"/>
      <w:lvlText w:val="%3."/>
      <w:lvlJc w:val="right"/>
      <w:pPr>
        <w:ind w:left="2160" w:hanging="180"/>
      </w:pPr>
    </w:lvl>
    <w:lvl w:ilvl="3" w:tplc="7414C5BA" w:tentative="1">
      <w:start w:val="1"/>
      <w:numFmt w:val="decimal"/>
      <w:lvlText w:val="%4."/>
      <w:lvlJc w:val="left"/>
      <w:pPr>
        <w:ind w:left="2880" w:hanging="360"/>
      </w:pPr>
    </w:lvl>
    <w:lvl w:ilvl="4" w:tplc="05CA92EA" w:tentative="1">
      <w:start w:val="1"/>
      <w:numFmt w:val="lowerLetter"/>
      <w:lvlText w:val="%5."/>
      <w:lvlJc w:val="left"/>
      <w:pPr>
        <w:ind w:left="3600" w:hanging="360"/>
      </w:pPr>
    </w:lvl>
    <w:lvl w:ilvl="5" w:tplc="83C6E288" w:tentative="1">
      <w:start w:val="1"/>
      <w:numFmt w:val="lowerRoman"/>
      <w:lvlText w:val="%6."/>
      <w:lvlJc w:val="right"/>
      <w:pPr>
        <w:ind w:left="4320" w:hanging="180"/>
      </w:pPr>
    </w:lvl>
    <w:lvl w:ilvl="6" w:tplc="2E26F1C4" w:tentative="1">
      <w:start w:val="1"/>
      <w:numFmt w:val="decimal"/>
      <w:lvlText w:val="%7."/>
      <w:lvlJc w:val="left"/>
      <w:pPr>
        <w:ind w:left="5040" w:hanging="360"/>
      </w:pPr>
    </w:lvl>
    <w:lvl w:ilvl="7" w:tplc="91561578" w:tentative="1">
      <w:start w:val="1"/>
      <w:numFmt w:val="lowerLetter"/>
      <w:lvlText w:val="%8."/>
      <w:lvlJc w:val="left"/>
      <w:pPr>
        <w:ind w:left="5760" w:hanging="360"/>
      </w:pPr>
    </w:lvl>
    <w:lvl w:ilvl="8" w:tplc="EE7E0926" w:tentative="1">
      <w:start w:val="1"/>
      <w:numFmt w:val="lowerRoman"/>
      <w:lvlText w:val="%9."/>
      <w:lvlJc w:val="right"/>
      <w:pPr>
        <w:ind w:left="6480" w:hanging="180"/>
      </w:pPr>
    </w:lvl>
  </w:abstractNum>
  <w:abstractNum w:abstractNumId="17" w15:restartNumberingAfterBreak="0">
    <w:nsid w:val="37FC7C06"/>
    <w:multiLevelType w:val="hybridMultilevel"/>
    <w:tmpl w:val="44886DB0"/>
    <w:lvl w:ilvl="0" w:tplc="9E082A8E">
      <w:start w:val="1"/>
      <w:numFmt w:val="decimal"/>
      <w:lvlText w:val="%1."/>
      <w:lvlJc w:val="left"/>
      <w:pPr>
        <w:ind w:left="360" w:hanging="360"/>
      </w:pPr>
      <w:rPr>
        <w:rFonts w:ascii="Times New Roman" w:hAnsi="Times New Roman" w:cs="Times New Roman" w:hint="default"/>
        <w:b w:val="0"/>
        <w:i w:val="0"/>
      </w:rPr>
    </w:lvl>
    <w:lvl w:ilvl="1" w:tplc="CFD23A84" w:tentative="1">
      <w:start w:val="1"/>
      <w:numFmt w:val="lowerLetter"/>
      <w:lvlText w:val="%2."/>
      <w:lvlJc w:val="left"/>
      <w:pPr>
        <w:ind w:left="1080" w:hanging="360"/>
      </w:pPr>
    </w:lvl>
    <w:lvl w:ilvl="2" w:tplc="4408764E" w:tentative="1">
      <w:start w:val="1"/>
      <w:numFmt w:val="lowerRoman"/>
      <w:lvlText w:val="%3."/>
      <w:lvlJc w:val="right"/>
      <w:pPr>
        <w:ind w:left="1800" w:hanging="180"/>
      </w:pPr>
    </w:lvl>
    <w:lvl w:ilvl="3" w:tplc="EF2E4606" w:tentative="1">
      <w:start w:val="1"/>
      <w:numFmt w:val="decimal"/>
      <w:lvlText w:val="%4."/>
      <w:lvlJc w:val="left"/>
      <w:pPr>
        <w:ind w:left="2520" w:hanging="360"/>
      </w:pPr>
    </w:lvl>
    <w:lvl w:ilvl="4" w:tplc="AD6C89D6" w:tentative="1">
      <w:start w:val="1"/>
      <w:numFmt w:val="lowerLetter"/>
      <w:lvlText w:val="%5."/>
      <w:lvlJc w:val="left"/>
      <w:pPr>
        <w:ind w:left="3240" w:hanging="360"/>
      </w:pPr>
    </w:lvl>
    <w:lvl w:ilvl="5" w:tplc="50ECFEF0" w:tentative="1">
      <w:start w:val="1"/>
      <w:numFmt w:val="lowerRoman"/>
      <w:lvlText w:val="%6."/>
      <w:lvlJc w:val="right"/>
      <w:pPr>
        <w:ind w:left="3960" w:hanging="180"/>
      </w:pPr>
    </w:lvl>
    <w:lvl w:ilvl="6" w:tplc="E59C1AFE" w:tentative="1">
      <w:start w:val="1"/>
      <w:numFmt w:val="decimal"/>
      <w:lvlText w:val="%7."/>
      <w:lvlJc w:val="left"/>
      <w:pPr>
        <w:ind w:left="4680" w:hanging="360"/>
      </w:pPr>
    </w:lvl>
    <w:lvl w:ilvl="7" w:tplc="CBAC2536" w:tentative="1">
      <w:start w:val="1"/>
      <w:numFmt w:val="lowerLetter"/>
      <w:lvlText w:val="%8."/>
      <w:lvlJc w:val="left"/>
      <w:pPr>
        <w:ind w:left="5400" w:hanging="360"/>
      </w:pPr>
    </w:lvl>
    <w:lvl w:ilvl="8" w:tplc="0D9A5044" w:tentative="1">
      <w:start w:val="1"/>
      <w:numFmt w:val="lowerRoman"/>
      <w:lvlText w:val="%9."/>
      <w:lvlJc w:val="right"/>
      <w:pPr>
        <w:ind w:left="6120" w:hanging="180"/>
      </w:pPr>
    </w:lvl>
  </w:abstractNum>
  <w:abstractNum w:abstractNumId="18" w15:restartNumberingAfterBreak="0">
    <w:nsid w:val="434B4FD6"/>
    <w:multiLevelType w:val="hybridMultilevel"/>
    <w:tmpl w:val="A33A9AEA"/>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19" w15:restartNumberingAfterBreak="0">
    <w:nsid w:val="4E7348A4"/>
    <w:multiLevelType w:val="hybridMultilevel"/>
    <w:tmpl w:val="40CE732A"/>
    <w:lvl w:ilvl="0" w:tplc="4AC2678C">
      <w:start w:val="1"/>
      <w:numFmt w:val="lowerLetter"/>
      <w:lvlText w:val="%1."/>
      <w:lvlJc w:val="left"/>
      <w:pPr>
        <w:tabs>
          <w:tab w:val="num" w:pos="1080"/>
        </w:tabs>
        <w:ind w:left="0" w:firstLine="720"/>
      </w:pPr>
      <w:rPr>
        <w:rFonts w:hint="default"/>
        <w:b/>
        <w:i w:val="0"/>
      </w:rPr>
    </w:lvl>
    <w:lvl w:ilvl="1" w:tplc="C4F222E2" w:tentative="1">
      <w:start w:val="1"/>
      <w:numFmt w:val="lowerLetter"/>
      <w:lvlText w:val="%2."/>
      <w:lvlJc w:val="left"/>
      <w:pPr>
        <w:ind w:left="1440" w:hanging="360"/>
      </w:pPr>
    </w:lvl>
    <w:lvl w:ilvl="2" w:tplc="976EC83E" w:tentative="1">
      <w:start w:val="1"/>
      <w:numFmt w:val="lowerRoman"/>
      <w:lvlText w:val="%3."/>
      <w:lvlJc w:val="right"/>
      <w:pPr>
        <w:ind w:left="2160" w:hanging="180"/>
      </w:pPr>
    </w:lvl>
    <w:lvl w:ilvl="3" w:tplc="7B6A2E18" w:tentative="1">
      <w:start w:val="1"/>
      <w:numFmt w:val="decimal"/>
      <w:lvlText w:val="%4."/>
      <w:lvlJc w:val="left"/>
      <w:pPr>
        <w:ind w:left="2880" w:hanging="360"/>
      </w:pPr>
    </w:lvl>
    <w:lvl w:ilvl="4" w:tplc="AFC8FE58" w:tentative="1">
      <w:start w:val="1"/>
      <w:numFmt w:val="lowerLetter"/>
      <w:lvlText w:val="%5."/>
      <w:lvlJc w:val="left"/>
      <w:pPr>
        <w:ind w:left="3600" w:hanging="360"/>
      </w:pPr>
    </w:lvl>
    <w:lvl w:ilvl="5" w:tplc="15AE1BAC" w:tentative="1">
      <w:start w:val="1"/>
      <w:numFmt w:val="lowerRoman"/>
      <w:lvlText w:val="%6."/>
      <w:lvlJc w:val="right"/>
      <w:pPr>
        <w:ind w:left="4320" w:hanging="180"/>
      </w:pPr>
    </w:lvl>
    <w:lvl w:ilvl="6" w:tplc="FB66307C" w:tentative="1">
      <w:start w:val="1"/>
      <w:numFmt w:val="decimal"/>
      <w:lvlText w:val="%7."/>
      <w:lvlJc w:val="left"/>
      <w:pPr>
        <w:ind w:left="5040" w:hanging="360"/>
      </w:pPr>
    </w:lvl>
    <w:lvl w:ilvl="7" w:tplc="4B9E6A84" w:tentative="1">
      <w:start w:val="1"/>
      <w:numFmt w:val="lowerLetter"/>
      <w:lvlText w:val="%8."/>
      <w:lvlJc w:val="left"/>
      <w:pPr>
        <w:ind w:left="5760" w:hanging="360"/>
      </w:pPr>
    </w:lvl>
    <w:lvl w:ilvl="8" w:tplc="C0DADF12" w:tentative="1">
      <w:start w:val="1"/>
      <w:numFmt w:val="lowerRoman"/>
      <w:lvlText w:val="%9."/>
      <w:lvlJc w:val="right"/>
      <w:pPr>
        <w:ind w:left="6480" w:hanging="180"/>
      </w:pPr>
    </w:lvl>
  </w:abstractNum>
  <w:abstractNum w:abstractNumId="20" w15:restartNumberingAfterBreak="0">
    <w:nsid w:val="4FAF4040"/>
    <w:multiLevelType w:val="hybridMultilevel"/>
    <w:tmpl w:val="A33A9AEA"/>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B9EAD746">
      <w:start w:val="1"/>
      <w:numFmt w:val="decimal"/>
      <w:lvlText w:val="%1."/>
      <w:lvlJc w:val="left"/>
      <w:pPr>
        <w:tabs>
          <w:tab w:val="num" w:pos="720"/>
        </w:tabs>
        <w:ind w:left="720" w:hanging="720"/>
      </w:pPr>
      <w:rPr>
        <w:rFonts w:hint="default"/>
      </w:rPr>
    </w:lvl>
    <w:lvl w:ilvl="1" w:tplc="1772F99C" w:tentative="1">
      <w:start w:val="1"/>
      <w:numFmt w:val="lowerLetter"/>
      <w:lvlText w:val="%2."/>
      <w:lvlJc w:val="left"/>
      <w:pPr>
        <w:ind w:left="1440" w:hanging="360"/>
      </w:pPr>
    </w:lvl>
    <w:lvl w:ilvl="2" w:tplc="7780EC90" w:tentative="1">
      <w:start w:val="1"/>
      <w:numFmt w:val="lowerRoman"/>
      <w:lvlText w:val="%3."/>
      <w:lvlJc w:val="right"/>
      <w:pPr>
        <w:ind w:left="2160" w:hanging="180"/>
      </w:pPr>
    </w:lvl>
    <w:lvl w:ilvl="3" w:tplc="E6E46E7A" w:tentative="1">
      <w:start w:val="1"/>
      <w:numFmt w:val="decimal"/>
      <w:lvlText w:val="%4."/>
      <w:lvlJc w:val="left"/>
      <w:pPr>
        <w:ind w:left="2880" w:hanging="360"/>
      </w:pPr>
    </w:lvl>
    <w:lvl w:ilvl="4" w:tplc="C532C768" w:tentative="1">
      <w:start w:val="1"/>
      <w:numFmt w:val="lowerLetter"/>
      <w:lvlText w:val="%5."/>
      <w:lvlJc w:val="left"/>
      <w:pPr>
        <w:ind w:left="3600" w:hanging="360"/>
      </w:pPr>
    </w:lvl>
    <w:lvl w:ilvl="5" w:tplc="9322F3CC" w:tentative="1">
      <w:start w:val="1"/>
      <w:numFmt w:val="lowerRoman"/>
      <w:lvlText w:val="%6."/>
      <w:lvlJc w:val="right"/>
      <w:pPr>
        <w:ind w:left="4320" w:hanging="180"/>
      </w:pPr>
    </w:lvl>
    <w:lvl w:ilvl="6" w:tplc="93FCD832" w:tentative="1">
      <w:start w:val="1"/>
      <w:numFmt w:val="decimal"/>
      <w:lvlText w:val="%7."/>
      <w:lvlJc w:val="left"/>
      <w:pPr>
        <w:ind w:left="5040" w:hanging="360"/>
      </w:pPr>
    </w:lvl>
    <w:lvl w:ilvl="7" w:tplc="833655FE" w:tentative="1">
      <w:start w:val="1"/>
      <w:numFmt w:val="lowerLetter"/>
      <w:lvlText w:val="%8."/>
      <w:lvlJc w:val="left"/>
      <w:pPr>
        <w:ind w:left="5760" w:hanging="360"/>
      </w:pPr>
    </w:lvl>
    <w:lvl w:ilvl="8" w:tplc="7ADE1BA8" w:tentative="1">
      <w:start w:val="1"/>
      <w:numFmt w:val="lowerRoman"/>
      <w:lvlText w:val="%9."/>
      <w:lvlJc w:val="right"/>
      <w:pPr>
        <w:ind w:left="6480" w:hanging="180"/>
      </w:pPr>
    </w:lvl>
  </w:abstractNum>
  <w:abstractNum w:abstractNumId="22" w15:restartNumberingAfterBreak="0">
    <w:nsid w:val="5237592F"/>
    <w:multiLevelType w:val="hybridMultilevel"/>
    <w:tmpl w:val="5F989E9E"/>
    <w:lvl w:ilvl="0" w:tplc="0D8C0AB0">
      <w:start w:val="1"/>
      <w:numFmt w:val="decimal"/>
      <w:lvlText w:val="%1)"/>
      <w:lvlJc w:val="left"/>
      <w:pPr>
        <w:ind w:left="720" w:hanging="360"/>
      </w:pPr>
    </w:lvl>
    <w:lvl w:ilvl="1" w:tplc="730CF6CC" w:tentative="1">
      <w:start w:val="1"/>
      <w:numFmt w:val="lowerLetter"/>
      <w:lvlText w:val="%2."/>
      <w:lvlJc w:val="left"/>
      <w:pPr>
        <w:ind w:left="1440" w:hanging="360"/>
      </w:pPr>
    </w:lvl>
    <w:lvl w:ilvl="2" w:tplc="880CA102" w:tentative="1">
      <w:start w:val="1"/>
      <w:numFmt w:val="lowerRoman"/>
      <w:lvlText w:val="%3."/>
      <w:lvlJc w:val="right"/>
      <w:pPr>
        <w:ind w:left="2160" w:hanging="180"/>
      </w:pPr>
    </w:lvl>
    <w:lvl w:ilvl="3" w:tplc="7C369FF2" w:tentative="1">
      <w:start w:val="1"/>
      <w:numFmt w:val="decimal"/>
      <w:lvlText w:val="%4."/>
      <w:lvlJc w:val="left"/>
      <w:pPr>
        <w:ind w:left="2880" w:hanging="360"/>
      </w:pPr>
    </w:lvl>
    <w:lvl w:ilvl="4" w:tplc="905E108A" w:tentative="1">
      <w:start w:val="1"/>
      <w:numFmt w:val="lowerLetter"/>
      <w:lvlText w:val="%5."/>
      <w:lvlJc w:val="left"/>
      <w:pPr>
        <w:ind w:left="3600" w:hanging="360"/>
      </w:pPr>
    </w:lvl>
    <w:lvl w:ilvl="5" w:tplc="EC10C496" w:tentative="1">
      <w:start w:val="1"/>
      <w:numFmt w:val="lowerRoman"/>
      <w:lvlText w:val="%6."/>
      <w:lvlJc w:val="right"/>
      <w:pPr>
        <w:ind w:left="4320" w:hanging="180"/>
      </w:pPr>
    </w:lvl>
    <w:lvl w:ilvl="6" w:tplc="4AAC2926" w:tentative="1">
      <w:start w:val="1"/>
      <w:numFmt w:val="decimal"/>
      <w:lvlText w:val="%7."/>
      <w:lvlJc w:val="left"/>
      <w:pPr>
        <w:ind w:left="5040" w:hanging="360"/>
      </w:pPr>
    </w:lvl>
    <w:lvl w:ilvl="7" w:tplc="0CA20B32" w:tentative="1">
      <w:start w:val="1"/>
      <w:numFmt w:val="lowerLetter"/>
      <w:lvlText w:val="%8."/>
      <w:lvlJc w:val="left"/>
      <w:pPr>
        <w:ind w:left="5760" w:hanging="360"/>
      </w:pPr>
    </w:lvl>
    <w:lvl w:ilvl="8" w:tplc="02F6D2C6" w:tentative="1">
      <w:start w:val="1"/>
      <w:numFmt w:val="lowerRoman"/>
      <w:lvlText w:val="%9."/>
      <w:lvlJc w:val="right"/>
      <w:pPr>
        <w:ind w:left="6480" w:hanging="180"/>
      </w:pPr>
    </w:lvl>
  </w:abstractNum>
  <w:abstractNum w:abstractNumId="23" w15:restartNumberingAfterBreak="0">
    <w:nsid w:val="5A890759"/>
    <w:multiLevelType w:val="hybridMultilevel"/>
    <w:tmpl w:val="11E0FCB4"/>
    <w:lvl w:ilvl="0" w:tplc="7DD61310">
      <w:start w:val="1"/>
      <w:numFmt w:val="lowerLetter"/>
      <w:lvlText w:val="%1."/>
      <w:lvlJc w:val="left"/>
      <w:pPr>
        <w:tabs>
          <w:tab w:val="num" w:pos="1080"/>
        </w:tabs>
        <w:ind w:left="0" w:firstLine="720"/>
      </w:pPr>
      <w:rPr>
        <w:rFonts w:hint="default"/>
      </w:rPr>
    </w:lvl>
    <w:lvl w:ilvl="1" w:tplc="C2FA83A2" w:tentative="1">
      <w:start w:val="1"/>
      <w:numFmt w:val="lowerLetter"/>
      <w:lvlText w:val="%2."/>
      <w:lvlJc w:val="left"/>
      <w:pPr>
        <w:ind w:left="1440" w:hanging="360"/>
      </w:pPr>
    </w:lvl>
    <w:lvl w:ilvl="2" w:tplc="73201C00" w:tentative="1">
      <w:start w:val="1"/>
      <w:numFmt w:val="lowerRoman"/>
      <w:lvlText w:val="%3."/>
      <w:lvlJc w:val="right"/>
      <w:pPr>
        <w:ind w:left="2160" w:hanging="180"/>
      </w:pPr>
    </w:lvl>
    <w:lvl w:ilvl="3" w:tplc="78523CA2" w:tentative="1">
      <w:start w:val="1"/>
      <w:numFmt w:val="decimal"/>
      <w:lvlText w:val="%4."/>
      <w:lvlJc w:val="left"/>
      <w:pPr>
        <w:ind w:left="2880" w:hanging="360"/>
      </w:pPr>
    </w:lvl>
    <w:lvl w:ilvl="4" w:tplc="69FC6C6C" w:tentative="1">
      <w:start w:val="1"/>
      <w:numFmt w:val="lowerLetter"/>
      <w:lvlText w:val="%5."/>
      <w:lvlJc w:val="left"/>
      <w:pPr>
        <w:ind w:left="3600" w:hanging="360"/>
      </w:pPr>
    </w:lvl>
    <w:lvl w:ilvl="5" w:tplc="C628A8F8" w:tentative="1">
      <w:start w:val="1"/>
      <w:numFmt w:val="lowerRoman"/>
      <w:lvlText w:val="%6."/>
      <w:lvlJc w:val="right"/>
      <w:pPr>
        <w:ind w:left="4320" w:hanging="180"/>
      </w:pPr>
    </w:lvl>
    <w:lvl w:ilvl="6" w:tplc="A9641686" w:tentative="1">
      <w:start w:val="1"/>
      <w:numFmt w:val="decimal"/>
      <w:lvlText w:val="%7."/>
      <w:lvlJc w:val="left"/>
      <w:pPr>
        <w:ind w:left="5040" w:hanging="360"/>
      </w:pPr>
    </w:lvl>
    <w:lvl w:ilvl="7" w:tplc="917E23A4" w:tentative="1">
      <w:start w:val="1"/>
      <w:numFmt w:val="lowerLetter"/>
      <w:lvlText w:val="%8."/>
      <w:lvlJc w:val="left"/>
      <w:pPr>
        <w:ind w:left="5760" w:hanging="360"/>
      </w:pPr>
    </w:lvl>
    <w:lvl w:ilvl="8" w:tplc="CEBED468" w:tentative="1">
      <w:start w:val="1"/>
      <w:numFmt w:val="lowerRoman"/>
      <w:lvlText w:val="%9."/>
      <w:lvlJc w:val="right"/>
      <w:pPr>
        <w:ind w:left="6480" w:hanging="180"/>
      </w:pPr>
    </w:lvl>
  </w:abstractNum>
  <w:abstractNum w:abstractNumId="24" w15:restartNumberingAfterBreak="0">
    <w:nsid w:val="5B6A3298"/>
    <w:multiLevelType w:val="hybridMultilevel"/>
    <w:tmpl w:val="6B561D76"/>
    <w:lvl w:ilvl="0" w:tplc="6B982BEC">
      <w:start w:val="1"/>
      <w:numFmt w:val="upperLetter"/>
      <w:pStyle w:val="ListALPHAB"/>
      <w:lvlText w:val="%1."/>
      <w:lvlJc w:val="left"/>
      <w:pPr>
        <w:tabs>
          <w:tab w:val="num" w:pos="1080"/>
        </w:tabs>
        <w:ind w:left="0" w:firstLine="720"/>
      </w:pPr>
      <w:rPr>
        <w:rFonts w:hint="default"/>
        <w:b/>
        <w:i w:val="0"/>
      </w:rPr>
    </w:lvl>
    <w:lvl w:ilvl="1" w:tplc="8C78683C" w:tentative="1">
      <w:start w:val="1"/>
      <w:numFmt w:val="lowerLetter"/>
      <w:lvlText w:val="%2."/>
      <w:lvlJc w:val="left"/>
      <w:pPr>
        <w:tabs>
          <w:tab w:val="num" w:pos="1440"/>
        </w:tabs>
        <w:ind w:left="1440" w:hanging="360"/>
      </w:pPr>
    </w:lvl>
    <w:lvl w:ilvl="2" w:tplc="2A74010C" w:tentative="1">
      <w:start w:val="1"/>
      <w:numFmt w:val="lowerRoman"/>
      <w:lvlText w:val="%3."/>
      <w:lvlJc w:val="right"/>
      <w:pPr>
        <w:tabs>
          <w:tab w:val="num" w:pos="2160"/>
        </w:tabs>
        <w:ind w:left="2160" w:hanging="180"/>
      </w:pPr>
    </w:lvl>
    <w:lvl w:ilvl="3" w:tplc="9200765A" w:tentative="1">
      <w:start w:val="1"/>
      <w:numFmt w:val="decimal"/>
      <w:lvlText w:val="%4."/>
      <w:lvlJc w:val="left"/>
      <w:pPr>
        <w:tabs>
          <w:tab w:val="num" w:pos="2880"/>
        </w:tabs>
        <w:ind w:left="2880" w:hanging="360"/>
      </w:pPr>
    </w:lvl>
    <w:lvl w:ilvl="4" w:tplc="CE74B7D2" w:tentative="1">
      <w:start w:val="1"/>
      <w:numFmt w:val="lowerLetter"/>
      <w:lvlText w:val="%5."/>
      <w:lvlJc w:val="left"/>
      <w:pPr>
        <w:tabs>
          <w:tab w:val="num" w:pos="3600"/>
        </w:tabs>
        <w:ind w:left="3600" w:hanging="360"/>
      </w:pPr>
    </w:lvl>
    <w:lvl w:ilvl="5" w:tplc="6EA2ACF8" w:tentative="1">
      <w:start w:val="1"/>
      <w:numFmt w:val="lowerRoman"/>
      <w:lvlText w:val="%6."/>
      <w:lvlJc w:val="right"/>
      <w:pPr>
        <w:tabs>
          <w:tab w:val="num" w:pos="4320"/>
        </w:tabs>
        <w:ind w:left="4320" w:hanging="180"/>
      </w:pPr>
    </w:lvl>
    <w:lvl w:ilvl="6" w:tplc="2D9C0FA0" w:tentative="1">
      <w:start w:val="1"/>
      <w:numFmt w:val="decimal"/>
      <w:lvlText w:val="%7."/>
      <w:lvlJc w:val="left"/>
      <w:pPr>
        <w:tabs>
          <w:tab w:val="num" w:pos="5040"/>
        </w:tabs>
        <w:ind w:left="5040" w:hanging="360"/>
      </w:pPr>
    </w:lvl>
    <w:lvl w:ilvl="7" w:tplc="BA2CA06E" w:tentative="1">
      <w:start w:val="1"/>
      <w:numFmt w:val="lowerLetter"/>
      <w:lvlText w:val="%8."/>
      <w:lvlJc w:val="left"/>
      <w:pPr>
        <w:tabs>
          <w:tab w:val="num" w:pos="5760"/>
        </w:tabs>
        <w:ind w:left="5760" w:hanging="360"/>
      </w:pPr>
    </w:lvl>
    <w:lvl w:ilvl="8" w:tplc="053E7AFA" w:tentative="1">
      <w:start w:val="1"/>
      <w:numFmt w:val="lowerRoman"/>
      <w:lvlText w:val="%9."/>
      <w:lvlJc w:val="right"/>
      <w:pPr>
        <w:tabs>
          <w:tab w:val="num" w:pos="6480"/>
        </w:tabs>
        <w:ind w:left="6480" w:hanging="180"/>
      </w:pPr>
    </w:lvl>
  </w:abstractNum>
  <w:abstractNum w:abstractNumId="25" w15:restartNumberingAfterBreak="0">
    <w:nsid w:val="5C47503B"/>
    <w:multiLevelType w:val="hybridMultilevel"/>
    <w:tmpl w:val="7A487CFA"/>
    <w:lvl w:ilvl="0" w:tplc="28709FF6">
      <w:start w:val="1"/>
      <w:numFmt w:val="decimal"/>
      <w:lvlText w:val="%1."/>
      <w:lvlJc w:val="left"/>
      <w:pPr>
        <w:tabs>
          <w:tab w:val="num" w:pos="1080"/>
        </w:tabs>
        <w:ind w:left="0" w:firstLine="720"/>
      </w:pPr>
      <w:rPr>
        <w:rFonts w:hint="default"/>
        <w:b w:val="0"/>
        <w:i w:val="0"/>
        <w:sz w:val="24"/>
        <w:szCs w:val="24"/>
      </w:rPr>
    </w:lvl>
    <w:lvl w:ilvl="1" w:tplc="2A6A9952" w:tentative="1">
      <w:start w:val="1"/>
      <w:numFmt w:val="lowerLetter"/>
      <w:lvlText w:val="%2."/>
      <w:lvlJc w:val="left"/>
      <w:pPr>
        <w:tabs>
          <w:tab w:val="num" w:pos="1440"/>
        </w:tabs>
        <w:ind w:left="1440" w:hanging="360"/>
      </w:pPr>
    </w:lvl>
    <w:lvl w:ilvl="2" w:tplc="755A7730" w:tentative="1">
      <w:start w:val="1"/>
      <w:numFmt w:val="lowerRoman"/>
      <w:lvlText w:val="%3."/>
      <w:lvlJc w:val="right"/>
      <w:pPr>
        <w:tabs>
          <w:tab w:val="num" w:pos="2160"/>
        </w:tabs>
        <w:ind w:left="2160" w:hanging="180"/>
      </w:pPr>
    </w:lvl>
    <w:lvl w:ilvl="3" w:tplc="E4540FA4" w:tentative="1">
      <w:start w:val="1"/>
      <w:numFmt w:val="decimal"/>
      <w:lvlText w:val="%4."/>
      <w:lvlJc w:val="left"/>
      <w:pPr>
        <w:tabs>
          <w:tab w:val="num" w:pos="2880"/>
        </w:tabs>
        <w:ind w:left="2880" w:hanging="360"/>
      </w:pPr>
    </w:lvl>
    <w:lvl w:ilvl="4" w:tplc="8078225E" w:tentative="1">
      <w:start w:val="1"/>
      <w:numFmt w:val="lowerLetter"/>
      <w:lvlText w:val="%5."/>
      <w:lvlJc w:val="left"/>
      <w:pPr>
        <w:tabs>
          <w:tab w:val="num" w:pos="3600"/>
        </w:tabs>
        <w:ind w:left="3600" w:hanging="360"/>
      </w:pPr>
    </w:lvl>
    <w:lvl w:ilvl="5" w:tplc="D592BACA" w:tentative="1">
      <w:start w:val="1"/>
      <w:numFmt w:val="lowerRoman"/>
      <w:lvlText w:val="%6."/>
      <w:lvlJc w:val="right"/>
      <w:pPr>
        <w:tabs>
          <w:tab w:val="num" w:pos="4320"/>
        </w:tabs>
        <w:ind w:left="4320" w:hanging="180"/>
      </w:pPr>
    </w:lvl>
    <w:lvl w:ilvl="6" w:tplc="81505672" w:tentative="1">
      <w:start w:val="1"/>
      <w:numFmt w:val="decimal"/>
      <w:lvlText w:val="%7."/>
      <w:lvlJc w:val="left"/>
      <w:pPr>
        <w:tabs>
          <w:tab w:val="num" w:pos="5040"/>
        </w:tabs>
        <w:ind w:left="5040" w:hanging="360"/>
      </w:pPr>
    </w:lvl>
    <w:lvl w:ilvl="7" w:tplc="D07EFB48" w:tentative="1">
      <w:start w:val="1"/>
      <w:numFmt w:val="lowerLetter"/>
      <w:lvlText w:val="%8."/>
      <w:lvlJc w:val="left"/>
      <w:pPr>
        <w:tabs>
          <w:tab w:val="num" w:pos="5760"/>
        </w:tabs>
        <w:ind w:left="5760" w:hanging="360"/>
      </w:pPr>
    </w:lvl>
    <w:lvl w:ilvl="8" w:tplc="9472817A" w:tentative="1">
      <w:start w:val="1"/>
      <w:numFmt w:val="lowerRoman"/>
      <w:lvlText w:val="%9."/>
      <w:lvlJc w:val="right"/>
      <w:pPr>
        <w:tabs>
          <w:tab w:val="num" w:pos="6480"/>
        </w:tabs>
        <w:ind w:left="6480" w:hanging="180"/>
      </w:pPr>
    </w:lvl>
  </w:abstractNum>
  <w:abstractNum w:abstractNumId="26" w15:restartNumberingAfterBreak="0">
    <w:nsid w:val="61B05D0D"/>
    <w:multiLevelType w:val="hybridMultilevel"/>
    <w:tmpl w:val="6EC4E8C8"/>
    <w:lvl w:ilvl="0" w:tplc="F76A2D00">
      <w:start w:val="1"/>
      <w:numFmt w:val="decimal"/>
      <w:lvlText w:val="%1."/>
      <w:lvlJc w:val="left"/>
      <w:pPr>
        <w:tabs>
          <w:tab w:val="num" w:pos="1080"/>
        </w:tabs>
        <w:ind w:left="0" w:firstLine="720"/>
      </w:pPr>
      <w:rPr>
        <w:rFonts w:hint="default"/>
      </w:rPr>
    </w:lvl>
    <w:lvl w:ilvl="1" w:tplc="E402E5DE" w:tentative="1">
      <w:start w:val="1"/>
      <w:numFmt w:val="lowerLetter"/>
      <w:lvlText w:val="%2."/>
      <w:lvlJc w:val="left"/>
      <w:pPr>
        <w:ind w:left="1440" w:hanging="360"/>
      </w:pPr>
    </w:lvl>
    <w:lvl w:ilvl="2" w:tplc="3426EC42" w:tentative="1">
      <w:start w:val="1"/>
      <w:numFmt w:val="lowerRoman"/>
      <w:lvlText w:val="%3."/>
      <w:lvlJc w:val="right"/>
      <w:pPr>
        <w:ind w:left="2160" w:hanging="180"/>
      </w:pPr>
    </w:lvl>
    <w:lvl w:ilvl="3" w:tplc="5B08B37C" w:tentative="1">
      <w:start w:val="1"/>
      <w:numFmt w:val="decimal"/>
      <w:lvlText w:val="%4."/>
      <w:lvlJc w:val="left"/>
      <w:pPr>
        <w:ind w:left="2880" w:hanging="360"/>
      </w:pPr>
    </w:lvl>
    <w:lvl w:ilvl="4" w:tplc="3E7A5E74" w:tentative="1">
      <w:start w:val="1"/>
      <w:numFmt w:val="lowerLetter"/>
      <w:lvlText w:val="%5."/>
      <w:lvlJc w:val="left"/>
      <w:pPr>
        <w:ind w:left="3600" w:hanging="360"/>
      </w:pPr>
    </w:lvl>
    <w:lvl w:ilvl="5" w:tplc="E95026B6" w:tentative="1">
      <w:start w:val="1"/>
      <w:numFmt w:val="lowerRoman"/>
      <w:lvlText w:val="%6."/>
      <w:lvlJc w:val="right"/>
      <w:pPr>
        <w:ind w:left="4320" w:hanging="180"/>
      </w:pPr>
    </w:lvl>
    <w:lvl w:ilvl="6" w:tplc="8842AD14" w:tentative="1">
      <w:start w:val="1"/>
      <w:numFmt w:val="decimal"/>
      <w:lvlText w:val="%7."/>
      <w:lvlJc w:val="left"/>
      <w:pPr>
        <w:ind w:left="5040" w:hanging="360"/>
      </w:pPr>
    </w:lvl>
    <w:lvl w:ilvl="7" w:tplc="82B83BE2" w:tentative="1">
      <w:start w:val="1"/>
      <w:numFmt w:val="lowerLetter"/>
      <w:lvlText w:val="%8."/>
      <w:lvlJc w:val="left"/>
      <w:pPr>
        <w:ind w:left="5760" w:hanging="360"/>
      </w:pPr>
    </w:lvl>
    <w:lvl w:ilvl="8" w:tplc="C3287E58" w:tentative="1">
      <w:start w:val="1"/>
      <w:numFmt w:val="lowerRoman"/>
      <w:lvlText w:val="%9."/>
      <w:lvlJc w:val="right"/>
      <w:pPr>
        <w:ind w:left="6480" w:hanging="180"/>
      </w:pPr>
    </w:lvl>
  </w:abstractNum>
  <w:abstractNum w:abstractNumId="27" w15:restartNumberingAfterBreak="0">
    <w:nsid w:val="651353AC"/>
    <w:multiLevelType w:val="hybridMultilevel"/>
    <w:tmpl w:val="BCF6B1F0"/>
    <w:lvl w:ilvl="0" w:tplc="448AD17C">
      <w:start w:val="1"/>
      <w:numFmt w:val="lowerLetter"/>
      <w:lvlText w:val="%1."/>
      <w:lvlJc w:val="left"/>
      <w:pPr>
        <w:tabs>
          <w:tab w:val="num" w:pos="1080"/>
        </w:tabs>
        <w:ind w:left="0" w:firstLine="720"/>
      </w:pPr>
      <w:rPr>
        <w:rFonts w:hint="default"/>
        <w:b/>
        <w:i w:val="0"/>
      </w:rPr>
    </w:lvl>
    <w:lvl w:ilvl="1" w:tplc="17AEF0A6" w:tentative="1">
      <w:start w:val="1"/>
      <w:numFmt w:val="lowerLetter"/>
      <w:lvlText w:val="%2."/>
      <w:lvlJc w:val="left"/>
      <w:pPr>
        <w:ind w:left="1440" w:hanging="360"/>
      </w:pPr>
    </w:lvl>
    <w:lvl w:ilvl="2" w:tplc="A088182E" w:tentative="1">
      <w:start w:val="1"/>
      <w:numFmt w:val="lowerRoman"/>
      <w:lvlText w:val="%3."/>
      <w:lvlJc w:val="right"/>
      <w:pPr>
        <w:ind w:left="2160" w:hanging="180"/>
      </w:pPr>
    </w:lvl>
    <w:lvl w:ilvl="3" w:tplc="1484755C" w:tentative="1">
      <w:start w:val="1"/>
      <w:numFmt w:val="decimal"/>
      <w:lvlText w:val="%4."/>
      <w:lvlJc w:val="left"/>
      <w:pPr>
        <w:ind w:left="2880" w:hanging="360"/>
      </w:pPr>
    </w:lvl>
    <w:lvl w:ilvl="4" w:tplc="A40CDF86" w:tentative="1">
      <w:start w:val="1"/>
      <w:numFmt w:val="lowerLetter"/>
      <w:lvlText w:val="%5."/>
      <w:lvlJc w:val="left"/>
      <w:pPr>
        <w:ind w:left="3600" w:hanging="360"/>
      </w:pPr>
    </w:lvl>
    <w:lvl w:ilvl="5" w:tplc="AD2C16FE" w:tentative="1">
      <w:start w:val="1"/>
      <w:numFmt w:val="lowerRoman"/>
      <w:lvlText w:val="%6."/>
      <w:lvlJc w:val="right"/>
      <w:pPr>
        <w:ind w:left="4320" w:hanging="180"/>
      </w:pPr>
    </w:lvl>
    <w:lvl w:ilvl="6" w:tplc="83248244" w:tentative="1">
      <w:start w:val="1"/>
      <w:numFmt w:val="decimal"/>
      <w:lvlText w:val="%7."/>
      <w:lvlJc w:val="left"/>
      <w:pPr>
        <w:ind w:left="5040" w:hanging="360"/>
      </w:pPr>
    </w:lvl>
    <w:lvl w:ilvl="7" w:tplc="DD640732" w:tentative="1">
      <w:start w:val="1"/>
      <w:numFmt w:val="lowerLetter"/>
      <w:lvlText w:val="%8."/>
      <w:lvlJc w:val="left"/>
      <w:pPr>
        <w:ind w:left="5760" w:hanging="360"/>
      </w:pPr>
    </w:lvl>
    <w:lvl w:ilvl="8" w:tplc="78CEE76E" w:tentative="1">
      <w:start w:val="1"/>
      <w:numFmt w:val="lowerRoman"/>
      <w:lvlText w:val="%9."/>
      <w:lvlJc w:val="right"/>
      <w:pPr>
        <w:ind w:left="6480" w:hanging="180"/>
      </w:pPr>
    </w:lvl>
  </w:abstractNum>
  <w:abstractNum w:abstractNumId="28" w15:restartNumberingAfterBreak="0">
    <w:nsid w:val="669C4856"/>
    <w:multiLevelType w:val="hybridMultilevel"/>
    <w:tmpl w:val="7F6CBF66"/>
    <w:lvl w:ilvl="0" w:tplc="7202204E">
      <w:start w:val="1"/>
      <w:numFmt w:val="lowerLetter"/>
      <w:lvlText w:val="%1."/>
      <w:lvlJc w:val="left"/>
      <w:pPr>
        <w:tabs>
          <w:tab w:val="num" w:pos="1080"/>
        </w:tabs>
        <w:ind w:left="0" w:firstLine="720"/>
      </w:pPr>
      <w:rPr>
        <w:rFonts w:hint="default"/>
      </w:rPr>
    </w:lvl>
    <w:lvl w:ilvl="1" w:tplc="D6425D1A" w:tentative="1">
      <w:start w:val="1"/>
      <w:numFmt w:val="lowerLetter"/>
      <w:lvlText w:val="%2."/>
      <w:lvlJc w:val="left"/>
      <w:pPr>
        <w:ind w:left="1440" w:hanging="360"/>
      </w:pPr>
    </w:lvl>
    <w:lvl w:ilvl="2" w:tplc="4488A628" w:tentative="1">
      <w:start w:val="1"/>
      <w:numFmt w:val="lowerRoman"/>
      <w:lvlText w:val="%3."/>
      <w:lvlJc w:val="right"/>
      <w:pPr>
        <w:ind w:left="2160" w:hanging="180"/>
      </w:pPr>
    </w:lvl>
    <w:lvl w:ilvl="3" w:tplc="BBCC0242" w:tentative="1">
      <w:start w:val="1"/>
      <w:numFmt w:val="decimal"/>
      <w:lvlText w:val="%4."/>
      <w:lvlJc w:val="left"/>
      <w:pPr>
        <w:ind w:left="2880" w:hanging="360"/>
      </w:pPr>
    </w:lvl>
    <w:lvl w:ilvl="4" w:tplc="EC6203E8" w:tentative="1">
      <w:start w:val="1"/>
      <w:numFmt w:val="lowerLetter"/>
      <w:lvlText w:val="%5."/>
      <w:lvlJc w:val="left"/>
      <w:pPr>
        <w:ind w:left="3600" w:hanging="360"/>
      </w:pPr>
    </w:lvl>
    <w:lvl w:ilvl="5" w:tplc="17B26E14" w:tentative="1">
      <w:start w:val="1"/>
      <w:numFmt w:val="lowerRoman"/>
      <w:lvlText w:val="%6."/>
      <w:lvlJc w:val="right"/>
      <w:pPr>
        <w:ind w:left="4320" w:hanging="180"/>
      </w:pPr>
    </w:lvl>
    <w:lvl w:ilvl="6" w:tplc="5EE63C40" w:tentative="1">
      <w:start w:val="1"/>
      <w:numFmt w:val="decimal"/>
      <w:lvlText w:val="%7."/>
      <w:lvlJc w:val="left"/>
      <w:pPr>
        <w:ind w:left="5040" w:hanging="360"/>
      </w:pPr>
    </w:lvl>
    <w:lvl w:ilvl="7" w:tplc="B4FEFFF6" w:tentative="1">
      <w:start w:val="1"/>
      <w:numFmt w:val="lowerLetter"/>
      <w:lvlText w:val="%8."/>
      <w:lvlJc w:val="left"/>
      <w:pPr>
        <w:ind w:left="5760" w:hanging="360"/>
      </w:pPr>
    </w:lvl>
    <w:lvl w:ilvl="8" w:tplc="28DCCA08" w:tentative="1">
      <w:start w:val="1"/>
      <w:numFmt w:val="lowerRoman"/>
      <w:lvlText w:val="%9."/>
      <w:lvlJc w:val="right"/>
      <w:pPr>
        <w:ind w:left="6480" w:hanging="180"/>
      </w:pPr>
    </w:lvl>
  </w:abstractNum>
  <w:abstractNum w:abstractNumId="29" w15:restartNumberingAfterBreak="0">
    <w:nsid w:val="69B507EE"/>
    <w:multiLevelType w:val="hybridMultilevel"/>
    <w:tmpl w:val="A33A9AEA"/>
    <w:lvl w:ilvl="0" w:tplc="35B4C3DE">
      <w:start w:val="1"/>
      <w:numFmt w:val="decimal"/>
      <w:lvlText w:val="%1."/>
      <w:lvlJc w:val="left"/>
      <w:pPr>
        <w:ind w:left="540" w:hanging="360"/>
      </w:pPr>
      <w:rPr>
        <w:b w:val="0"/>
        <w:i w:val="0"/>
      </w:rPr>
    </w:lvl>
    <w:lvl w:ilvl="1" w:tplc="646E2DC2" w:tentative="1">
      <w:start w:val="1"/>
      <w:numFmt w:val="lowerLetter"/>
      <w:lvlText w:val="%2."/>
      <w:lvlJc w:val="left"/>
      <w:pPr>
        <w:ind w:left="1440" w:hanging="360"/>
      </w:pPr>
    </w:lvl>
    <w:lvl w:ilvl="2" w:tplc="D13A47EA" w:tentative="1">
      <w:start w:val="1"/>
      <w:numFmt w:val="lowerRoman"/>
      <w:lvlText w:val="%3."/>
      <w:lvlJc w:val="right"/>
      <w:pPr>
        <w:ind w:left="2160" w:hanging="180"/>
      </w:pPr>
    </w:lvl>
    <w:lvl w:ilvl="3" w:tplc="3B7098F0" w:tentative="1">
      <w:start w:val="1"/>
      <w:numFmt w:val="decimal"/>
      <w:lvlText w:val="%4."/>
      <w:lvlJc w:val="left"/>
      <w:pPr>
        <w:ind w:left="2880" w:hanging="360"/>
      </w:pPr>
    </w:lvl>
    <w:lvl w:ilvl="4" w:tplc="C554ACA6" w:tentative="1">
      <w:start w:val="1"/>
      <w:numFmt w:val="lowerLetter"/>
      <w:lvlText w:val="%5."/>
      <w:lvlJc w:val="left"/>
      <w:pPr>
        <w:ind w:left="3600" w:hanging="360"/>
      </w:pPr>
    </w:lvl>
    <w:lvl w:ilvl="5" w:tplc="E2EADE64" w:tentative="1">
      <w:start w:val="1"/>
      <w:numFmt w:val="lowerRoman"/>
      <w:lvlText w:val="%6."/>
      <w:lvlJc w:val="right"/>
      <w:pPr>
        <w:ind w:left="4320" w:hanging="180"/>
      </w:pPr>
    </w:lvl>
    <w:lvl w:ilvl="6" w:tplc="280CB1AC" w:tentative="1">
      <w:start w:val="1"/>
      <w:numFmt w:val="decimal"/>
      <w:lvlText w:val="%7."/>
      <w:lvlJc w:val="left"/>
      <w:pPr>
        <w:ind w:left="5040" w:hanging="360"/>
      </w:pPr>
    </w:lvl>
    <w:lvl w:ilvl="7" w:tplc="B2200AE8" w:tentative="1">
      <w:start w:val="1"/>
      <w:numFmt w:val="lowerLetter"/>
      <w:lvlText w:val="%8."/>
      <w:lvlJc w:val="left"/>
      <w:pPr>
        <w:ind w:left="5760" w:hanging="360"/>
      </w:pPr>
    </w:lvl>
    <w:lvl w:ilvl="8" w:tplc="B3A8A69A" w:tentative="1">
      <w:start w:val="1"/>
      <w:numFmt w:val="lowerRoman"/>
      <w:lvlText w:val="%9."/>
      <w:lvlJc w:val="right"/>
      <w:pPr>
        <w:ind w:left="6480" w:hanging="180"/>
      </w:pPr>
    </w:lvl>
  </w:abstractNum>
  <w:abstractNum w:abstractNumId="30" w15:restartNumberingAfterBreak="0">
    <w:nsid w:val="72002FF9"/>
    <w:multiLevelType w:val="hybridMultilevel"/>
    <w:tmpl w:val="32F423A0"/>
    <w:lvl w:ilvl="0" w:tplc="2490EE40">
      <w:start w:val="1"/>
      <w:numFmt w:val="lowerLetter"/>
      <w:pStyle w:val="ListalphaB0"/>
      <w:lvlText w:val="%1."/>
      <w:lvlJc w:val="left"/>
      <w:pPr>
        <w:tabs>
          <w:tab w:val="num" w:pos="1080"/>
        </w:tabs>
        <w:ind w:left="0" w:firstLine="720"/>
      </w:pPr>
      <w:rPr>
        <w:rFonts w:hint="default"/>
        <w:b/>
        <w:i w:val="0"/>
      </w:rPr>
    </w:lvl>
    <w:lvl w:ilvl="1" w:tplc="C47694EE" w:tentative="1">
      <w:start w:val="1"/>
      <w:numFmt w:val="lowerLetter"/>
      <w:lvlText w:val="%2."/>
      <w:lvlJc w:val="left"/>
      <w:pPr>
        <w:tabs>
          <w:tab w:val="num" w:pos="1440"/>
        </w:tabs>
        <w:ind w:left="1440" w:hanging="360"/>
      </w:pPr>
    </w:lvl>
    <w:lvl w:ilvl="2" w:tplc="FCE0B404" w:tentative="1">
      <w:start w:val="1"/>
      <w:numFmt w:val="lowerRoman"/>
      <w:lvlText w:val="%3."/>
      <w:lvlJc w:val="right"/>
      <w:pPr>
        <w:tabs>
          <w:tab w:val="num" w:pos="2160"/>
        </w:tabs>
        <w:ind w:left="2160" w:hanging="180"/>
      </w:pPr>
    </w:lvl>
    <w:lvl w:ilvl="3" w:tplc="A01CC56A" w:tentative="1">
      <w:start w:val="1"/>
      <w:numFmt w:val="decimal"/>
      <w:lvlText w:val="%4."/>
      <w:lvlJc w:val="left"/>
      <w:pPr>
        <w:tabs>
          <w:tab w:val="num" w:pos="2880"/>
        </w:tabs>
        <w:ind w:left="2880" w:hanging="360"/>
      </w:pPr>
    </w:lvl>
    <w:lvl w:ilvl="4" w:tplc="E5A220E4" w:tentative="1">
      <w:start w:val="1"/>
      <w:numFmt w:val="lowerLetter"/>
      <w:lvlText w:val="%5."/>
      <w:lvlJc w:val="left"/>
      <w:pPr>
        <w:tabs>
          <w:tab w:val="num" w:pos="3600"/>
        </w:tabs>
        <w:ind w:left="3600" w:hanging="360"/>
      </w:pPr>
    </w:lvl>
    <w:lvl w:ilvl="5" w:tplc="10AC1C76" w:tentative="1">
      <w:start w:val="1"/>
      <w:numFmt w:val="lowerRoman"/>
      <w:lvlText w:val="%6."/>
      <w:lvlJc w:val="right"/>
      <w:pPr>
        <w:tabs>
          <w:tab w:val="num" w:pos="4320"/>
        </w:tabs>
        <w:ind w:left="4320" w:hanging="180"/>
      </w:pPr>
    </w:lvl>
    <w:lvl w:ilvl="6" w:tplc="3260E270" w:tentative="1">
      <w:start w:val="1"/>
      <w:numFmt w:val="decimal"/>
      <w:lvlText w:val="%7."/>
      <w:lvlJc w:val="left"/>
      <w:pPr>
        <w:tabs>
          <w:tab w:val="num" w:pos="5040"/>
        </w:tabs>
        <w:ind w:left="5040" w:hanging="360"/>
      </w:pPr>
    </w:lvl>
    <w:lvl w:ilvl="7" w:tplc="A2CE2C4E" w:tentative="1">
      <w:start w:val="1"/>
      <w:numFmt w:val="lowerLetter"/>
      <w:lvlText w:val="%8."/>
      <w:lvlJc w:val="left"/>
      <w:pPr>
        <w:tabs>
          <w:tab w:val="num" w:pos="5760"/>
        </w:tabs>
        <w:ind w:left="5760" w:hanging="360"/>
      </w:pPr>
    </w:lvl>
    <w:lvl w:ilvl="8" w:tplc="1FC2DB5E" w:tentative="1">
      <w:start w:val="1"/>
      <w:numFmt w:val="lowerRoman"/>
      <w:lvlText w:val="%9."/>
      <w:lvlJc w:val="right"/>
      <w:pPr>
        <w:tabs>
          <w:tab w:val="num" w:pos="6480"/>
        </w:tabs>
        <w:ind w:left="6480" w:hanging="180"/>
      </w:pPr>
    </w:lvl>
  </w:abstractNum>
  <w:abstractNum w:abstractNumId="31" w15:restartNumberingAfterBreak="0">
    <w:nsid w:val="77C17189"/>
    <w:multiLevelType w:val="hybridMultilevel"/>
    <w:tmpl w:val="19D0C8C2"/>
    <w:lvl w:ilvl="0" w:tplc="707825B0">
      <w:start w:val="1"/>
      <w:numFmt w:val="decimal"/>
      <w:lvlText w:val="%1."/>
      <w:lvlJc w:val="left"/>
      <w:pPr>
        <w:tabs>
          <w:tab w:val="num" w:pos="1080"/>
        </w:tabs>
        <w:ind w:left="0" w:firstLine="720"/>
      </w:pPr>
      <w:rPr>
        <w:rFonts w:hint="default"/>
        <w:b/>
        <w:i w:val="0"/>
        <w:sz w:val="24"/>
        <w:szCs w:val="24"/>
      </w:rPr>
    </w:lvl>
    <w:lvl w:ilvl="1" w:tplc="1944AB06" w:tentative="1">
      <w:start w:val="1"/>
      <w:numFmt w:val="lowerLetter"/>
      <w:lvlText w:val="%2."/>
      <w:lvlJc w:val="left"/>
      <w:pPr>
        <w:tabs>
          <w:tab w:val="num" w:pos="1440"/>
        </w:tabs>
        <w:ind w:left="1440" w:hanging="360"/>
      </w:pPr>
    </w:lvl>
    <w:lvl w:ilvl="2" w:tplc="95B0104A" w:tentative="1">
      <w:start w:val="1"/>
      <w:numFmt w:val="lowerRoman"/>
      <w:lvlText w:val="%3."/>
      <w:lvlJc w:val="right"/>
      <w:pPr>
        <w:tabs>
          <w:tab w:val="num" w:pos="2160"/>
        </w:tabs>
        <w:ind w:left="2160" w:hanging="180"/>
      </w:pPr>
    </w:lvl>
    <w:lvl w:ilvl="3" w:tplc="444810F4" w:tentative="1">
      <w:start w:val="1"/>
      <w:numFmt w:val="decimal"/>
      <w:lvlText w:val="%4."/>
      <w:lvlJc w:val="left"/>
      <w:pPr>
        <w:tabs>
          <w:tab w:val="num" w:pos="2880"/>
        </w:tabs>
        <w:ind w:left="2880" w:hanging="360"/>
      </w:pPr>
    </w:lvl>
    <w:lvl w:ilvl="4" w:tplc="C84E0660" w:tentative="1">
      <w:start w:val="1"/>
      <w:numFmt w:val="lowerLetter"/>
      <w:lvlText w:val="%5."/>
      <w:lvlJc w:val="left"/>
      <w:pPr>
        <w:tabs>
          <w:tab w:val="num" w:pos="3600"/>
        </w:tabs>
        <w:ind w:left="3600" w:hanging="360"/>
      </w:pPr>
    </w:lvl>
    <w:lvl w:ilvl="5" w:tplc="064E3796" w:tentative="1">
      <w:start w:val="1"/>
      <w:numFmt w:val="lowerRoman"/>
      <w:lvlText w:val="%6."/>
      <w:lvlJc w:val="right"/>
      <w:pPr>
        <w:tabs>
          <w:tab w:val="num" w:pos="4320"/>
        </w:tabs>
        <w:ind w:left="4320" w:hanging="180"/>
      </w:pPr>
    </w:lvl>
    <w:lvl w:ilvl="6" w:tplc="C100C3BA" w:tentative="1">
      <w:start w:val="1"/>
      <w:numFmt w:val="decimal"/>
      <w:lvlText w:val="%7."/>
      <w:lvlJc w:val="left"/>
      <w:pPr>
        <w:tabs>
          <w:tab w:val="num" w:pos="5040"/>
        </w:tabs>
        <w:ind w:left="5040" w:hanging="360"/>
      </w:pPr>
    </w:lvl>
    <w:lvl w:ilvl="7" w:tplc="59C8EA28" w:tentative="1">
      <w:start w:val="1"/>
      <w:numFmt w:val="lowerLetter"/>
      <w:lvlText w:val="%8."/>
      <w:lvlJc w:val="left"/>
      <w:pPr>
        <w:tabs>
          <w:tab w:val="num" w:pos="5760"/>
        </w:tabs>
        <w:ind w:left="5760" w:hanging="360"/>
      </w:pPr>
    </w:lvl>
    <w:lvl w:ilvl="8" w:tplc="9B08E6B2" w:tentative="1">
      <w:start w:val="1"/>
      <w:numFmt w:val="lowerRoman"/>
      <w:lvlText w:val="%9."/>
      <w:lvlJc w:val="right"/>
      <w:pPr>
        <w:tabs>
          <w:tab w:val="num" w:pos="6480"/>
        </w:tabs>
        <w:ind w:left="6480" w:hanging="180"/>
      </w:pPr>
    </w:lvl>
  </w:abstractNum>
  <w:abstractNum w:abstractNumId="32" w15:restartNumberingAfterBreak="0">
    <w:nsid w:val="7DE50282"/>
    <w:multiLevelType w:val="hybridMultilevel"/>
    <w:tmpl w:val="94E0E7DC"/>
    <w:lvl w:ilvl="0" w:tplc="3B1E796C">
      <w:start w:val="1"/>
      <w:numFmt w:val="decimal"/>
      <w:lvlText w:val="%1."/>
      <w:lvlJc w:val="left"/>
      <w:pPr>
        <w:tabs>
          <w:tab w:val="num" w:pos="1080"/>
        </w:tabs>
        <w:ind w:left="0" w:firstLine="720"/>
      </w:pPr>
      <w:rPr>
        <w:rFonts w:hint="default"/>
        <w:b w:val="0"/>
        <w:i w:val="0"/>
        <w:sz w:val="24"/>
        <w:szCs w:val="24"/>
      </w:rPr>
    </w:lvl>
    <w:lvl w:ilvl="1" w:tplc="AAC24F4E" w:tentative="1">
      <w:start w:val="1"/>
      <w:numFmt w:val="lowerLetter"/>
      <w:lvlText w:val="%2."/>
      <w:lvlJc w:val="left"/>
      <w:pPr>
        <w:tabs>
          <w:tab w:val="num" w:pos="1440"/>
        </w:tabs>
        <w:ind w:left="1440" w:hanging="360"/>
      </w:pPr>
    </w:lvl>
    <w:lvl w:ilvl="2" w:tplc="E016472E" w:tentative="1">
      <w:start w:val="1"/>
      <w:numFmt w:val="lowerRoman"/>
      <w:lvlText w:val="%3."/>
      <w:lvlJc w:val="right"/>
      <w:pPr>
        <w:tabs>
          <w:tab w:val="num" w:pos="2160"/>
        </w:tabs>
        <w:ind w:left="2160" w:hanging="180"/>
      </w:pPr>
    </w:lvl>
    <w:lvl w:ilvl="3" w:tplc="3F0C11C6" w:tentative="1">
      <w:start w:val="1"/>
      <w:numFmt w:val="decimal"/>
      <w:lvlText w:val="%4."/>
      <w:lvlJc w:val="left"/>
      <w:pPr>
        <w:tabs>
          <w:tab w:val="num" w:pos="2880"/>
        </w:tabs>
        <w:ind w:left="2880" w:hanging="360"/>
      </w:pPr>
    </w:lvl>
    <w:lvl w:ilvl="4" w:tplc="4C361150" w:tentative="1">
      <w:start w:val="1"/>
      <w:numFmt w:val="lowerLetter"/>
      <w:lvlText w:val="%5."/>
      <w:lvlJc w:val="left"/>
      <w:pPr>
        <w:tabs>
          <w:tab w:val="num" w:pos="3600"/>
        </w:tabs>
        <w:ind w:left="3600" w:hanging="360"/>
      </w:pPr>
    </w:lvl>
    <w:lvl w:ilvl="5" w:tplc="9614FAC2" w:tentative="1">
      <w:start w:val="1"/>
      <w:numFmt w:val="lowerRoman"/>
      <w:lvlText w:val="%6."/>
      <w:lvlJc w:val="right"/>
      <w:pPr>
        <w:tabs>
          <w:tab w:val="num" w:pos="4320"/>
        </w:tabs>
        <w:ind w:left="4320" w:hanging="180"/>
      </w:pPr>
    </w:lvl>
    <w:lvl w:ilvl="6" w:tplc="AD587BC0" w:tentative="1">
      <w:start w:val="1"/>
      <w:numFmt w:val="decimal"/>
      <w:lvlText w:val="%7."/>
      <w:lvlJc w:val="left"/>
      <w:pPr>
        <w:tabs>
          <w:tab w:val="num" w:pos="5040"/>
        </w:tabs>
        <w:ind w:left="5040" w:hanging="360"/>
      </w:pPr>
    </w:lvl>
    <w:lvl w:ilvl="7" w:tplc="1A186B60" w:tentative="1">
      <w:start w:val="1"/>
      <w:numFmt w:val="lowerLetter"/>
      <w:lvlText w:val="%8."/>
      <w:lvlJc w:val="left"/>
      <w:pPr>
        <w:tabs>
          <w:tab w:val="num" w:pos="5760"/>
        </w:tabs>
        <w:ind w:left="5760" w:hanging="360"/>
      </w:pPr>
    </w:lvl>
    <w:lvl w:ilvl="8" w:tplc="CB120750" w:tentative="1">
      <w:start w:val="1"/>
      <w:numFmt w:val="lowerRoman"/>
      <w:lvlText w:val="%9."/>
      <w:lvlJc w:val="right"/>
      <w:pPr>
        <w:tabs>
          <w:tab w:val="num" w:pos="6480"/>
        </w:tabs>
        <w:ind w:left="6480" w:hanging="180"/>
      </w:pPr>
    </w:lvl>
  </w:abstractNum>
  <w:abstractNum w:abstractNumId="33" w15:restartNumberingAfterBreak="0">
    <w:nsid w:val="7E141586"/>
    <w:multiLevelType w:val="hybridMultilevel"/>
    <w:tmpl w:val="3F6EB712"/>
    <w:lvl w:ilvl="0" w:tplc="61F08D36">
      <w:start w:val="1"/>
      <w:numFmt w:val="lowerLetter"/>
      <w:pStyle w:val="Listalpha"/>
      <w:lvlText w:val="%1."/>
      <w:lvlJc w:val="left"/>
      <w:pPr>
        <w:tabs>
          <w:tab w:val="num" w:pos="1080"/>
        </w:tabs>
        <w:ind w:left="0" w:firstLine="720"/>
      </w:pPr>
      <w:rPr>
        <w:rFonts w:hint="default"/>
        <w:b w:val="0"/>
        <w:i w:val="0"/>
      </w:rPr>
    </w:lvl>
    <w:lvl w:ilvl="1" w:tplc="C7CA3F4E" w:tentative="1">
      <w:start w:val="1"/>
      <w:numFmt w:val="lowerLetter"/>
      <w:lvlText w:val="%2."/>
      <w:lvlJc w:val="left"/>
      <w:pPr>
        <w:tabs>
          <w:tab w:val="num" w:pos="1440"/>
        </w:tabs>
        <w:ind w:left="1440" w:hanging="360"/>
      </w:pPr>
    </w:lvl>
    <w:lvl w:ilvl="2" w:tplc="091CB02E" w:tentative="1">
      <w:start w:val="1"/>
      <w:numFmt w:val="lowerRoman"/>
      <w:lvlText w:val="%3."/>
      <w:lvlJc w:val="right"/>
      <w:pPr>
        <w:tabs>
          <w:tab w:val="num" w:pos="2160"/>
        </w:tabs>
        <w:ind w:left="2160" w:hanging="180"/>
      </w:pPr>
    </w:lvl>
    <w:lvl w:ilvl="3" w:tplc="65C475FC" w:tentative="1">
      <w:start w:val="1"/>
      <w:numFmt w:val="decimal"/>
      <w:lvlText w:val="%4."/>
      <w:lvlJc w:val="left"/>
      <w:pPr>
        <w:tabs>
          <w:tab w:val="num" w:pos="2880"/>
        </w:tabs>
        <w:ind w:left="2880" w:hanging="360"/>
      </w:pPr>
    </w:lvl>
    <w:lvl w:ilvl="4" w:tplc="B46404DC" w:tentative="1">
      <w:start w:val="1"/>
      <w:numFmt w:val="lowerLetter"/>
      <w:lvlText w:val="%5."/>
      <w:lvlJc w:val="left"/>
      <w:pPr>
        <w:tabs>
          <w:tab w:val="num" w:pos="3600"/>
        </w:tabs>
        <w:ind w:left="3600" w:hanging="360"/>
      </w:pPr>
    </w:lvl>
    <w:lvl w:ilvl="5" w:tplc="B8D40F08" w:tentative="1">
      <w:start w:val="1"/>
      <w:numFmt w:val="lowerRoman"/>
      <w:lvlText w:val="%6."/>
      <w:lvlJc w:val="right"/>
      <w:pPr>
        <w:tabs>
          <w:tab w:val="num" w:pos="4320"/>
        </w:tabs>
        <w:ind w:left="4320" w:hanging="180"/>
      </w:pPr>
    </w:lvl>
    <w:lvl w:ilvl="6" w:tplc="1C0A2CDA" w:tentative="1">
      <w:start w:val="1"/>
      <w:numFmt w:val="decimal"/>
      <w:lvlText w:val="%7."/>
      <w:lvlJc w:val="left"/>
      <w:pPr>
        <w:tabs>
          <w:tab w:val="num" w:pos="5040"/>
        </w:tabs>
        <w:ind w:left="5040" w:hanging="360"/>
      </w:pPr>
    </w:lvl>
    <w:lvl w:ilvl="7" w:tplc="19EE4668" w:tentative="1">
      <w:start w:val="1"/>
      <w:numFmt w:val="lowerLetter"/>
      <w:lvlText w:val="%8."/>
      <w:lvlJc w:val="left"/>
      <w:pPr>
        <w:tabs>
          <w:tab w:val="num" w:pos="5760"/>
        </w:tabs>
        <w:ind w:left="5760" w:hanging="360"/>
      </w:pPr>
    </w:lvl>
    <w:lvl w:ilvl="8" w:tplc="97701F80" w:tentative="1">
      <w:start w:val="1"/>
      <w:numFmt w:val="lowerRoman"/>
      <w:lvlText w:val="%9."/>
      <w:lvlJc w:val="right"/>
      <w:pPr>
        <w:tabs>
          <w:tab w:val="num" w:pos="6480"/>
        </w:tabs>
        <w:ind w:left="6480" w:hanging="180"/>
      </w:pPr>
    </w:lvl>
  </w:abstractNum>
  <w:abstractNum w:abstractNumId="34" w15:restartNumberingAfterBreak="0">
    <w:nsid w:val="7F6D47AF"/>
    <w:multiLevelType w:val="hybridMultilevel"/>
    <w:tmpl w:val="E51E6F10"/>
    <w:lvl w:ilvl="0" w:tplc="B6FC507E">
      <w:start w:val="1"/>
      <w:numFmt w:val="decimal"/>
      <w:lvlText w:val="%1."/>
      <w:lvlJc w:val="left"/>
      <w:pPr>
        <w:tabs>
          <w:tab w:val="num" w:pos="1080"/>
        </w:tabs>
        <w:ind w:left="0" w:firstLine="720"/>
      </w:pPr>
      <w:rPr>
        <w:rFonts w:hint="default"/>
        <w:b/>
        <w:i w:val="0"/>
      </w:rPr>
    </w:lvl>
    <w:lvl w:ilvl="1" w:tplc="781EA0AE" w:tentative="1">
      <w:start w:val="1"/>
      <w:numFmt w:val="lowerLetter"/>
      <w:lvlText w:val="%2."/>
      <w:lvlJc w:val="left"/>
      <w:pPr>
        <w:ind w:left="1440" w:hanging="360"/>
      </w:pPr>
    </w:lvl>
    <w:lvl w:ilvl="2" w:tplc="A5567D8C" w:tentative="1">
      <w:start w:val="1"/>
      <w:numFmt w:val="lowerRoman"/>
      <w:lvlText w:val="%3."/>
      <w:lvlJc w:val="right"/>
      <w:pPr>
        <w:ind w:left="2160" w:hanging="180"/>
      </w:pPr>
    </w:lvl>
    <w:lvl w:ilvl="3" w:tplc="CF9ACA14" w:tentative="1">
      <w:start w:val="1"/>
      <w:numFmt w:val="decimal"/>
      <w:lvlText w:val="%4."/>
      <w:lvlJc w:val="left"/>
      <w:pPr>
        <w:ind w:left="2880" w:hanging="360"/>
      </w:pPr>
    </w:lvl>
    <w:lvl w:ilvl="4" w:tplc="064E487C" w:tentative="1">
      <w:start w:val="1"/>
      <w:numFmt w:val="lowerLetter"/>
      <w:lvlText w:val="%5."/>
      <w:lvlJc w:val="left"/>
      <w:pPr>
        <w:ind w:left="3600" w:hanging="360"/>
      </w:pPr>
    </w:lvl>
    <w:lvl w:ilvl="5" w:tplc="0AD259F2" w:tentative="1">
      <w:start w:val="1"/>
      <w:numFmt w:val="lowerRoman"/>
      <w:lvlText w:val="%6."/>
      <w:lvlJc w:val="right"/>
      <w:pPr>
        <w:ind w:left="4320" w:hanging="180"/>
      </w:pPr>
    </w:lvl>
    <w:lvl w:ilvl="6" w:tplc="F33626F6" w:tentative="1">
      <w:start w:val="1"/>
      <w:numFmt w:val="decimal"/>
      <w:lvlText w:val="%7."/>
      <w:lvlJc w:val="left"/>
      <w:pPr>
        <w:ind w:left="5040" w:hanging="360"/>
      </w:pPr>
    </w:lvl>
    <w:lvl w:ilvl="7" w:tplc="010EE56E" w:tentative="1">
      <w:start w:val="1"/>
      <w:numFmt w:val="lowerLetter"/>
      <w:lvlText w:val="%8."/>
      <w:lvlJc w:val="left"/>
      <w:pPr>
        <w:ind w:left="5760" w:hanging="360"/>
      </w:pPr>
    </w:lvl>
    <w:lvl w:ilvl="8" w:tplc="4CA0056A" w:tentative="1">
      <w:start w:val="1"/>
      <w:numFmt w:val="lowerRoman"/>
      <w:lvlText w:val="%9."/>
      <w:lvlJc w:val="right"/>
      <w:pPr>
        <w:ind w:left="6480" w:hanging="180"/>
      </w:pPr>
    </w:lvl>
  </w:abstractNum>
  <w:abstractNum w:abstractNumId="35" w15:restartNumberingAfterBreak="0">
    <w:nsid w:val="7F7C7F6B"/>
    <w:multiLevelType w:val="hybridMultilevel"/>
    <w:tmpl w:val="2ACE9752"/>
    <w:lvl w:ilvl="0" w:tplc="D702FBD0">
      <w:start w:val="1"/>
      <w:numFmt w:val="upperLetter"/>
      <w:pStyle w:val="ListALPHA0"/>
      <w:lvlText w:val="%1."/>
      <w:lvlJc w:val="left"/>
      <w:pPr>
        <w:tabs>
          <w:tab w:val="num" w:pos="1080"/>
        </w:tabs>
        <w:ind w:left="0" w:firstLine="720"/>
      </w:pPr>
      <w:rPr>
        <w:rFonts w:hint="default"/>
        <w:b w:val="0"/>
        <w:i w:val="0"/>
      </w:rPr>
    </w:lvl>
    <w:lvl w:ilvl="1" w:tplc="0D76E75E" w:tentative="1">
      <w:start w:val="1"/>
      <w:numFmt w:val="lowerLetter"/>
      <w:lvlText w:val="%2."/>
      <w:lvlJc w:val="left"/>
      <w:pPr>
        <w:tabs>
          <w:tab w:val="num" w:pos="1440"/>
        </w:tabs>
        <w:ind w:left="1440" w:hanging="360"/>
      </w:pPr>
    </w:lvl>
    <w:lvl w:ilvl="2" w:tplc="7D465ACA" w:tentative="1">
      <w:start w:val="1"/>
      <w:numFmt w:val="lowerRoman"/>
      <w:lvlText w:val="%3."/>
      <w:lvlJc w:val="right"/>
      <w:pPr>
        <w:tabs>
          <w:tab w:val="num" w:pos="2160"/>
        </w:tabs>
        <w:ind w:left="2160" w:hanging="180"/>
      </w:pPr>
    </w:lvl>
    <w:lvl w:ilvl="3" w:tplc="8CC02592" w:tentative="1">
      <w:start w:val="1"/>
      <w:numFmt w:val="decimal"/>
      <w:lvlText w:val="%4."/>
      <w:lvlJc w:val="left"/>
      <w:pPr>
        <w:tabs>
          <w:tab w:val="num" w:pos="2880"/>
        </w:tabs>
        <w:ind w:left="2880" w:hanging="360"/>
      </w:pPr>
    </w:lvl>
    <w:lvl w:ilvl="4" w:tplc="BE0A0488" w:tentative="1">
      <w:start w:val="1"/>
      <w:numFmt w:val="lowerLetter"/>
      <w:lvlText w:val="%5."/>
      <w:lvlJc w:val="left"/>
      <w:pPr>
        <w:tabs>
          <w:tab w:val="num" w:pos="3600"/>
        </w:tabs>
        <w:ind w:left="3600" w:hanging="360"/>
      </w:pPr>
    </w:lvl>
    <w:lvl w:ilvl="5" w:tplc="41DC1CCA" w:tentative="1">
      <w:start w:val="1"/>
      <w:numFmt w:val="lowerRoman"/>
      <w:lvlText w:val="%6."/>
      <w:lvlJc w:val="right"/>
      <w:pPr>
        <w:tabs>
          <w:tab w:val="num" w:pos="4320"/>
        </w:tabs>
        <w:ind w:left="4320" w:hanging="180"/>
      </w:pPr>
    </w:lvl>
    <w:lvl w:ilvl="6" w:tplc="B2EA5EB4" w:tentative="1">
      <w:start w:val="1"/>
      <w:numFmt w:val="decimal"/>
      <w:lvlText w:val="%7."/>
      <w:lvlJc w:val="left"/>
      <w:pPr>
        <w:tabs>
          <w:tab w:val="num" w:pos="5040"/>
        </w:tabs>
        <w:ind w:left="5040" w:hanging="360"/>
      </w:pPr>
    </w:lvl>
    <w:lvl w:ilvl="7" w:tplc="7D1AB162" w:tentative="1">
      <w:start w:val="1"/>
      <w:numFmt w:val="lowerLetter"/>
      <w:lvlText w:val="%8."/>
      <w:lvlJc w:val="left"/>
      <w:pPr>
        <w:tabs>
          <w:tab w:val="num" w:pos="5760"/>
        </w:tabs>
        <w:ind w:left="5760" w:hanging="360"/>
      </w:pPr>
    </w:lvl>
    <w:lvl w:ilvl="8" w:tplc="83DC1F2A"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
  </w:num>
  <w:num w:numId="4">
    <w:abstractNumId w:val="12"/>
  </w:num>
  <w:num w:numId="5">
    <w:abstractNumId w:val="28"/>
  </w:num>
  <w:num w:numId="6">
    <w:abstractNumId w:val="23"/>
  </w:num>
  <w:num w:numId="7">
    <w:abstractNumId w:val="19"/>
  </w:num>
  <w:num w:numId="8">
    <w:abstractNumId w:val="34"/>
  </w:num>
  <w:num w:numId="9">
    <w:abstractNumId w:val="21"/>
  </w:num>
  <w:num w:numId="10">
    <w:abstractNumId w:val="9"/>
  </w:num>
  <w:num w:numId="11">
    <w:abstractNumId w:val="8"/>
  </w:num>
  <w:num w:numId="12">
    <w:abstractNumId w:val="10"/>
  </w:num>
  <w:num w:numId="13">
    <w:abstractNumId w:val="16"/>
  </w:num>
  <w:num w:numId="14">
    <w:abstractNumId w:val="27"/>
  </w:num>
  <w:num w:numId="15">
    <w:abstractNumId w:val="31"/>
  </w:num>
  <w:num w:numId="16">
    <w:abstractNumId w:val="32"/>
  </w:num>
  <w:num w:numId="17">
    <w:abstractNumId w:val="25"/>
  </w:num>
  <w:num w:numId="18">
    <w:abstractNumId w:val="11"/>
  </w:num>
  <w:num w:numId="19">
    <w:abstractNumId w:val="30"/>
  </w:num>
  <w:num w:numId="20">
    <w:abstractNumId w:val="33"/>
  </w:num>
  <w:num w:numId="21">
    <w:abstractNumId w:val="24"/>
  </w:num>
  <w:num w:numId="22">
    <w:abstractNumId w:val="35"/>
  </w:num>
  <w:num w:numId="23">
    <w:abstractNumId w:val="14"/>
  </w:num>
  <w:num w:numId="24">
    <w:abstractNumId w:val="13"/>
  </w:num>
  <w:num w:numId="25">
    <w:abstractNumId w:val="15"/>
  </w:num>
  <w:num w:numId="26">
    <w:abstractNumId w:val="7"/>
  </w:num>
  <w:num w:numId="27">
    <w:abstractNumId w:val="5"/>
  </w:num>
  <w:num w:numId="28">
    <w:abstractNumId w:val="4"/>
  </w:num>
  <w:num w:numId="29">
    <w:abstractNumId w:val="3"/>
  </w:num>
  <w:num w:numId="30">
    <w:abstractNumId w:val="2"/>
  </w:num>
  <w:num w:numId="31">
    <w:abstractNumId w:val="0"/>
  </w:num>
  <w:num w:numId="32">
    <w:abstractNumId w:val="20"/>
  </w:num>
  <w:num w:numId="33">
    <w:abstractNumId w:val="17"/>
  </w:num>
  <w:num w:numId="34">
    <w:abstractNumId w:val="22"/>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4E"/>
    <w:rsid w:val="00010545"/>
    <w:rsid w:val="00057DD2"/>
    <w:rsid w:val="000964FB"/>
    <w:rsid w:val="000D4894"/>
    <w:rsid w:val="000D7863"/>
    <w:rsid w:val="001026CE"/>
    <w:rsid w:val="0014389E"/>
    <w:rsid w:val="00150023"/>
    <w:rsid w:val="0015079A"/>
    <w:rsid w:val="0016238D"/>
    <w:rsid w:val="00166C9B"/>
    <w:rsid w:val="00187907"/>
    <w:rsid w:val="00192CF3"/>
    <w:rsid w:val="001A73A9"/>
    <w:rsid w:val="001F1818"/>
    <w:rsid w:val="0021387D"/>
    <w:rsid w:val="00224932"/>
    <w:rsid w:val="00260395"/>
    <w:rsid w:val="00276DFF"/>
    <w:rsid w:val="00282939"/>
    <w:rsid w:val="002964D1"/>
    <w:rsid w:val="002C34A4"/>
    <w:rsid w:val="002D628C"/>
    <w:rsid w:val="00312002"/>
    <w:rsid w:val="003A2DBD"/>
    <w:rsid w:val="003A79D4"/>
    <w:rsid w:val="003B7A4D"/>
    <w:rsid w:val="003C47B4"/>
    <w:rsid w:val="003D42D1"/>
    <w:rsid w:val="003E2468"/>
    <w:rsid w:val="003E6F7B"/>
    <w:rsid w:val="003F407C"/>
    <w:rsid w:val="00403C88"/>
    <w:rsid w:val="00411478"/>
    <w:rsid w:val="00424841"/>
    <w:rsid w:val="00435233"/>
    <w:rsid w:val="004422B7"/>
    <w:rsid w:val="00451068"/>
    <w:rsid w:val="00484FDE"/>
    <w:rsid w:val="004A2E8B"/>
    <w:rsid w:val="004A3447"/>
    <w:rsid w:val="004D79B4"/>
    <w:rsid w:val="00506A8E"/>
    <w:rsid w:val="00522119"/>
    <w:rsid w:val="00527681"/>
    <w:rsid w:val="00533C9C"/>
    <w:rsid w:val="005D4331"/>
    <w:rsid w:val="005D4540"/>
    <w:rsid w:val="005E2DCF"/>
    <w:rsid w:val="00690273"/>
    <w:rsid w:val="006E40CE"/>
    <w:rsid w:val="00721C4E"/>
    <w:rsid w:val="00732EC2"/>
    <w:rsid w:val="00733C13"/>
    <w:rsid w:val="00734256"/>
    <w:rsid w:val="0074449A"/>
    <w:rsid w:val="0075544E"/>
    <w:rsid w:val="007671CE"/>
    <w:rsid w:val="0078387A"/>
    <w:rsid w:val="00787C67"/>
    <w:rsid w:val="007A1CD1"/>
    <w:rsid w:val="007C01DB"/>
    <w:rsid w:val="00807AB4"/>
    <w:rsid w:val="00822DA9"/>
    <w:rsid w:val="008C6662"/>
    <w:rsid w:val="008C7982"/>
    <w:rsid w:val="008C7B8A"/>
    <w:rsid w:val="008D0FC1"/>
    <w:rsid w:val="008D6DBE"/>
    <w:rsid w:val="008E0755"/>
    <w:rsid w:val="008F6E8D"/>
    <w:rsid w:val="008F7042"/>
    <w:rsid w:val="00936FD1"/>
    <w:rsid w:val="009429A8"/>
    <w:rsid w:val="0094581E"/>
    <w:rsid w:val="009569E8"/>
    <w:rsid w:val="00961177"/>
    <w:rsid w:val="00962309"/>
    <w:rsid w:val="009A3AF7"/>
    <w:rsid w:val="009B4528"/>
    <w:rsid w:val="009C52FB"/>
    <w:rsid w:val="009D6A0F"/>
    <w:rsid w:val="009E51A5"/>
    <w:rsid w:val="009E5BC1"/>
    <w:rsid w:val="00A31D69"/>
    <w:rsid w:val="00A45D33"/>
    <w:rsid w:val="00A710C8"/>
    <w:rsid w:val="00A864F4"/>
    <w:rsid w:val="00A929DF"/>
    <w:rsid w:val="00AB16D9"/>
    <w:rsid w:val="00B01B36"/>
    <w:rsid w:val="00B06562"/>
    <w:rsid w:val="00B360AA"/>
    <w:rsid w:val="00B55DC4"/>
    <w:rsid w:val="00B63B0C"/>
    <w:rsid w:val="00B874E2"/>
    <w:rsid w:val="00BB01D2"/>
    <w:rsid w:val="00BB70BE"/>
    <w:rsid w:val="00BC770B"/>
    <w:rsid w:val="00C01A37"/>
    <w:rsid w:val="00C06D62"/>
    <w:rsid w:val="00C26ADF"/>
    <w:rsid w:val="00C31DF2"/>
    <w:rsid w:val="00C375E5"/>
    <w:rsid w:val="00C74189"/>
    <w:rsid w:val="00CD1A25"/>
    <w:rsid w:val="00CE1A1D"/>
    <w:rsid w:val="00D02A85"/>
    <w:rsid w:val="00D05E31"/>
    <w:rsid w:val="00D07D08"/>
    <w:rsid w:val="00D20ADB"/>
    <w:rsid w:val="00D774DB"/>
    <w:rsid w:val="00D801AA"/>
    <w:rsid w:val="00D80601"/>
    <w:rsid w:val="00DA434D"/>
    <w:rsid w:val="00DB1AD8"/>
    <w:rsid w:val="00DC2CDE"/>
    <w:rsid w:val="00DD383C"/>
    <w:rsid w:val="00DE4FB0"/>
    <w:rsid w:val="00E32831"/>
    <w:rsid w:val="00E81240"/>
    <w:rsid w:val="00EC42C8"/>
    <w:rsid w:val="00ED09F8"/>
    <w:rsid w:val="00F01859"/>
    <w:rsid w:val="00F427BE"/>
    <w:rsid w:val="00F55A86"/>
    <w:rsid w:val="00F81C9B"/>
    <w:rsid w:val="00FC0F44"/>
    <w:rsid w:val="5A2F9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5D0CC1"/>
  <w15:docId w15:val="{839F24AF-569E-4C66-80F3-8201B881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29DF"/>
  </w:style>
  <w:style w:type="paragraph" w:styleId="Heading1">
    <w:name w:val="heading 1"/>
    <w:basedOn w:val="Normal"/>
    <w:next w:val="Normal"/>
    <w:link w:val="Heading1Char"/>
    <w:uiPriority w:val="9"/>
    <w:qFormat/>
    <w:rsid w:val="00A929D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A929D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A929D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A929D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A929D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A929DF"/>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A929DF"/>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A929D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A929D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929DF"/>
    <w:rPr>
      <w:rFonts w:asciiTheme="majorHAnsi" w:eastAsiaTheme="majorEastAsia" w:hAnsiTheme="majorHAnsi" w:cstheme="majorBidi"/>
      <w:i/>
      <w:iCs/>
      <w:color w:val="F79646" w:themeColor="accent6"/>
      <w:sz w:val="20"/>
      <w:szCs w:val="20"/>
    </w:rPr>
  </w:style>
  <w:style w:type="character" w:customStyle="1" w:styleId="Heading8Char">
    <w:name w:val="Heading 8 Char"/>
    <w:basedOn w:val="DefaultParagraphFont"/>
    <w:link w:val="Heading8"/>
    <w:uiPriority w:val="9"/>
    <w:semiHidden/>
    <w:rsid w:val="00A929DF"/>
    <w:rPr>
      <w:rFonts w:asciiTheme="majorHAnsi" w:eastAsiaTheme="majorEastAsia" w:hAnsiTheme="majorHAnsi" w:cstheme="majorBidi"/>
      <w:b/>
      <w:bCs/>
      <w:i/>
      <w:iCs/>
      <w:color w:val="F79646" w:themeColor="accent6"/>
      <w:sz w:val="20"/>
      <w:szCs w:val="20"/>
    </w:rPr>
  </w:style>
  <w:style w:type="character" w:customStyle="1" w:styleId="Heading7Char">
    <w:name w:val="Heading 7 Char"/>
    <w:basedOn w:val="DefaultParagraphFont"/>
    <w:link w:val="Heading7"/>
    <w:uiPriority w:val="9"/>
    <w:semiHidden/>
    <w:rsid w:val="00A929DF"/>
    <w:rPr>
      <w:rFonts w:asciiTheme="majorHAnsi" w:eastAsiaTheme="majorEastAsia" w:hAnsiTheme="majorHAnsi" w:cstheme="majorBidi"/>
      <w:b/>
      <w:bCs/>
      <w:color w:val="F79646" w:themeColor="accent6"/>
    </w:rPr>
  </w:style>
  <w:style w:type="paragraph" w:styleId="BlockText">
    <w:name w:val="Block Text"/>
    <w:basedOn w:val="Normal"/>
    <w:rsid w:val="00340740"/>
    <w:pPr>
      <w:spacing w:after="240"/>
    </w:pPr>
    <w:rPr>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next w:val="Normal"/>
    <w:link w:val="QuoteChar"/>
    <w:uiPriority w:val="29"/>
    <w:qFormat/>
    <w:rsid w:val="00A929D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929DF"/>
    <w:rPr>
      <w:i/>
      <w:iCs/>
      <w:color w:val="262626" w:themeColor="text1" w:themeTint="D9"/>
    </w:rPr>
  </w:style>
  <w:style w:type="paragraph" w:customStyle="1" w:styleId="Quote2">
    <w:name w:val="Quote 2"/>
    <w:basedOn w:val="Normal"/>
    <w:link w:val="Quote2Char"/>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Normal"/>
    <w:link w:val="TitleChar"/>
    <w:uiPriority w:val="10"/>
    <w:qFormat/>
    <w:rsid w:val="00A929D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929D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929D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929DF"/>
    <w:rPr>
      <w:rFonts w:asciiTheme="majorHAnsi" w:eastAsiaTheme="majorEastAsia" w:hAnsiTheme="majorHAnsi" w:cstheme="majorBidi"/>
      <w:sz w:val="30"/>
      <w:szCs w:val="30"/>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A929DF"/>
    <w:rPr>
      <w:rFonts w:asciiTheme="majorHAnsi" w:eastAsiaTheme="majorEastAsia" w:hAnsiTheme="majorHAnsi" w:cstheme="majorBidi"/>
      <w:color w:val="F79646" w:themeColor="accent6"/>
    </w:rPr>
  </w:style>
  <w:style w:type="character" w:customStyle="1" w:styleId="Heading5Char">
    <w:name w:val="Heading 5 Char"/>
    <w:basedOn w:val="DefaultParagraphFont"/>
    <w:link w:val="Heading5"/>
    <w:uiPriority w:val="9"/>
    <w:semiHidden/>
    <w:rsid w:val="00A929DF"/>
    <w:rPr>
      <w:rFonts w:asciiTheme="majorHAnsi" w:eastAsiaTheme="majorEastAsia" w:hAnsiTheme="majorHAnsi" w:cstheme="majorBidi"/>
      <w:i/>
      <w:iCs/>
      <w:color w:val="F79646" w:themeColor="accent6"/>
      <w:sz w:val="22"/>
      <w:szCs w:val="22"/>
    </w:rPr>
  </w:style>
  <w:style w:type="character" w:customStyle="1" w:styleId="Heading4Char">
    <w:name w:val="Heading 4 Char"/>
    <w:basedOn w:val="DefaultParagraphFont"/>
    <w:link w:val="Heading4"/>
    <w:uiPriority w:val="9"/>
    <w:semiHidden/>
    <w:rsid w:val="00A929DF"/>
    <w:rPr>
      <w:rFonts w:asciiTheme="majorHAnsi" w:eastAsiaTheme="majorEastAsia" w:hAnsiTheme="majorHAnsi" w:cstheme="majorBidi"/>
      <w:color w:val="F79646" w:themeColor="accent6"/>
      <w:sz w:val="22"/>
      <w:szCs w:val="22"/>
    </w:rPr>
  </w:style>
  <w:style w:type="character" w:customStyle="1" w:styleId="Heading3Char">
    <w:name w:val="Heading 3 Char"/>
    <w:basedOn w:val="DefaultParagraphFont"/>
    <w:link w:val="Heading3"/>
    <w:uiPriority w:val="9"/>
    <w:semiHidden/>
    <w:rsid w:val="00A929DF"/>
    <w:rPr>
      <w:rFonts w:asciiTheme="majorHAnsi" w:eastAsiaTheme="majorEastAsia" w:hAnsiTheme="majorHAnsi" w:cstheme="majorBidi"/>
      <w:color w:val="E36C0A" w:themeColor="accent6" w:themeShade="BF"/>
      <w:sz w:val="24"/>
      <w:szCs w:val="24"/>
    </w:rPr>
  </w:style>
  <w:style w:type="character" w:customStyle="1" w:styleId="Heading2Char">
    <w:name w:val="Heading 2 Char"/>
    <w:basedOn w:val="DefaultParagraphFont"/>
    <w:link w:val="Heading2"/>
    <w:uiPriority w:val="9"/>
    <w:semiHidden/>
    <w:rsid w:val="00A929DF"/>
    <w:rPr>
      <w:rFonts w:asciiTheme="majorHAnsi" w:eastAsiaTheme="majorEastAsia" w:hAnsiTheme="majorHAnsi" w:cstheme="majorBidi"/>
      <w:color w:val="E36C0A" w:themeColor="accent6" w:themeShade="BF"/>
      <w:sz w:val="28"/>
      <w:szCs w:val="28"/>
    </w:rPr>
  </w:style>
  <w:style w:type="character" w:customStyle="1" w:styleId="Heading1Char">
    <w:name w:val="Heading 1 Char"/>
    <w:basedOn w:val="DefaultParagraphFont"/>
    <w:link w:val="Heading1"/>
    <w:uiPriority w:val="9"/>
    <w:rsid w:val="00A929DF"/>
    <w:rPr>
      <w:rFonts w:asciiTheme="majorHAnsi" w:eastAsiaTheme="majorEastAsia" w:hAnsiTheme="majorHAnsi" w:cstheme="majorBidi"/>
      <w:color w:val="E36C0A" w:themeColor="accent6" w:themeShade="BF"/>
      <w:sz w:val="40"/>
      <w:szCs w:val="40"/>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nhideWhenUsed/>
    <w:rsid w:val="009A2CBA"/>
    <w:pPr>
      <w:tabs>
        <w:tab w:val="center" w:pos="4680"/>
        <w:tab w:val="right" w:pos="9360"/>
      </w:tabs>
    </w:pPr>
  </w:style>
  <w:style w:type="character" w:customStyle="1" w:styleId="FooterChar">
    <w:name w:val="Footer Char"/>
    <w:basedOn w:val="DefaultParagraphFont"/>
    <w:link w:val="Footer"/>
    <w:rsid w:val="009A2CBA"/>
  </w:style>
  <w:style w:type="paragraph" w:customStyle="1" w:styleId="BlockText2">
    <w:name w:val="Block Text 2"/>
    <w:basedOn w:val="Normal"/>
    <w:rsid w:val="00AD3673"/>
    <w:pPr>
      <w:spacing w:line="480" w:lineRule="auto"/>
    </w:pPr>
  </w:style>
  <w:style w:type="paragraph" w:customStyle="1" w:styleId="BodyTextJ">
    <w:name w:val="Body Text J"/>
    <w:basedOn w:val="Normal"/>
    <w:rsid w:val="00AD3673"/>
    <w:pPr>
      <w:spacing w:after="240"/>
      <w:ind w:firstLine="720"/>
      <w:jc w:val="both"/>
    </w:pPr>
  </w:style>
  <w:style w:type="paragraph" w:customStyle="1" w:styleId="BodyText2J">
    <w:name w:val="Body Text 2J"/>
    <w:basedOn w:val="Normal"/>
    <w:rsid w:val="00AD3673"/>
    <w:pPr>
      <w:spacing w:line="480" w:lineRule="auto"/>
      <w:ind w:firstLine="720"/>
      <w:jc w:val="both"/>
    </w:pPr>
  </w:style>
  <w:style w:type="paragraph" w:customStyle="1" w:styleId="BlockTextJ">
    <w:name w:val="Block Text J"/>
    <w:basedOn w:val="Normal"/>
    <w:rsid w:val="00AD3673"/>
    <w:pPr>
      <w:spacing w:after="240"/>
      <w:jc w:val="both"/>
    </w:pPr>
  </w:style>
  <w:style w:type="paragraph" w:customStyle="1" w:styleId="BlockText2J">
    <w:name w:val="Block Text 2J"/>
    <w:basedOn w:val="Normal"/>
    <w:rsid w:val="00AD3673"/>
    <w:pPr>
      <w:spacing w:line="480" w:lineRule="auto"/>
      <w:jc w:val="both"/>
    </w:pPr>
  </w:style>
  <w:style w:type="paragraph" w:customStyle="1" w:styleId="QuoteJ">
    <w:name w:val="Quote J"/>
    <w:basedOn w:val="Normal"/>
    <w:rsid w:val="00AD3673"/>
    <w:pPr>
      <w:spacing w:after="240"/>
      <w:ind w:left="720" w:right="720"/>
      <w:jc w:val="both"/>
    </w:pPr>
  </w:style>
  <w:style w:type="paragraph" w:customStyle="1" w:styleId="Quote2J">
    <w:name w:val="Quote 2J"/>
    <w:basedOn w:val="Normal"/>
    <w:rsid w:val="00AD3673"/>
    <w:pPr>
      <w:spacing w:line="480" w:lineRule="auto"/>
      <w:ind w:left="720" w:right="720"/>
      <w:jc w:val="both"/>
    </w:pPr>
  </w:style>
  <w:style w:type="paragraph" w:customStyle="1" w:styleId="TaxDisclaimer">
    <w:name w:val="TaxDisclaimer"/>
    <w:basedOn w:val="Normal"/>
    <w:semiHidden/>
    <w:unhideWhenUsed/>
    <w:rsid w:val="00BC5296"/>
    <w:pPr>
      <w:spacing w:before="100" w:after="100"/>
    </w:pPr>
    <w:rPr>
      <w:rFonts w:eastAsia="Times New Roman" w:cs="Times New Roman"/>
      <w:b/>
      <w:bCs/>
    </w:rPr>
  </w:style>
  <w:style w:type="paragraph" w:customStyle="1" w:styleId="ProhibitForward">
    <w:name w:val="ProhibitForward"/>
    <w:basedOn w:val="Normal"/>
    <w:semiHidden/>
    <w:unhideWhenUsed/>
    <w:rsid w:val="008C44B6"/>
    <w:pPr>
      <w:jc w:val="center"/>
    </w:pPr>
    <w:rPr>
      <w:rFonts w:eastAsia="Times New Roman" w:cs="Times New Roman"/>
      <w:color w:val="FF0000"/>
      <w:sz w:val="18"/>
      <w:szCs w:val="18"/>
    </w:rPr>
  </w:style>
  <w:style w:type="character" w:customStyle="1" w:styleId="DocID">
    <w:name w:val="DocID"/>
    <w:basedOn w:val="DefaultParagraphFont"/>
    <w:semiHidden/>
    <w:rsid w:val="000421B5"/>
    <w:rPr>
      <w:rFonts w:ascii="Times New Roman" w:hAnsi="Times New Roman"/>
      <w:sz w:val="16"/>
    </w:rPr>
  </w:style>
  <w:style w:type="paragraph" w:customStyle="1" w:styleId="BlockText1">
    <w:name w:val="Block Text 1"/>
    <w:basedOn w:val="Normal"/>
    <w:rsid w:val="00614279"/>
    <w:pPr>
      <w:spacing w:after="240"/>
      <w:ind w:left="1440"/>
    </w:pPr>
  </w:style>
  <w:style w:type="paragraph" w:customStyle="1" w:styleId="BlockText1-2">
    <w:name w:val="Block Text 1 - 2"/>
    <w:basedOn w:val="Normal"/>
    <w:rsid w:val="00614279"/>
    <w:pPr>
      <w:spacing w:line="480" w:lineRule="auto"/>
      <w:ind w:left="1440"/>
    </w:pPr>
  </w:style>
  <w:style w:type="paragraph" w:customStyle="1" w:styleId="Hang">
    <w:name w:val="Hang"/>
    <w:basedOn w:val="Normal"/>
    <w:rsid w:val="00BC3ED9"/>
    <w:pPr>
      <w:spacing w:after="240"/>
      <w:ind w:left="720" w:hanging="720"/>
    </w:pPr>
  </w:style>
  <w:style w:type="paragraph" w:customStyle="1" w:styleId="Hang2">
    <w:name w:val="Hang 2"/>
    <w:basedOn w:val="Normal"/>
    <w:rsid w:val="00BC3ED9"/>
    <w:pPr>
      <w:spacing w:line="480" w:lineRule="auto"/>
      <w:ind w:left="720" w:hanging="720"/>
    </w:pPr>
  </w:style>
  <w:style w:type="paragraph" w:customStyle="1" w:styleId="HangJ">
    <w:name w:val="Hang J"/>
    <w:basedOn w:val="Normal"/>
    <w:rsid w:val="00BC3ED9"/>
    <w:pPr>
      <w:spacing w:after="240"/>
      <w:ind w:left="720" w:hanging="720"/>
      <w:jc w:val="both"/>
    </w:pPr>
  </w:style>
  <w:style w:type="paragraph" w:customStyle="1" w:styleId="Hang2J">
    <w:name w:val="Hang 2J"/>
    <w:basedOn w:val="Normal"/>
    <w:rsid w:val="00BC3ED9"/>
    <w:pPr>
      <w:spacing w:line="480" w:lineRule="auto"/>
      <w:ind w:left="720" w:hanging="720"/>
      <w:jc w:val="both"/>
    </w:pPr>
  </w:style>
  <w:style w:type="paragraph" w:customStyle="1" w:styleId="Notary">
    <w:name w:val="Notary"/>
    <w:basedOn w:val="Normal"/>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Heading1"/>
    <w:next w:val="Normal"/>
    <w:uiPriority w:val="39"/>
    <w:semiHidden/>
    <w:unhideWhenUsed/>
    <w:qFormat/>
    <w:rsid w:val="00A929DF"/>
    <w:pPr>
      <w:outlineLvl w:val="9"/>
    </w:p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rsid w:val="002630F7"/>
    <w:pPr>
      <w:spacing w:after="720"/>
      <w:ind w:left="4320"/>
      <w:contextualSpacing/>
    </w:pPr>
  </w:style>
  <w:style w:type="character" w:customStyle="1" w:styleId="ClosingChar">
    <w:name w:val="Closing Char"/>
    <w:basedOn w:val="DefaultParagraphFont"/>
    <w:link w:val="Closing"/>
    <w:uiPriority w:val="99"/>
    <w:rsid w:val="002630F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rsid w:val="00A221BF"/>
    <w:pPr>
      <w:tabs>
        <w:tab w:val="right" w:pos="9216"/>
      </w:tabs>
      <w:ind w:left="4320"/>
    </w:pPr>
  </w:style>
  <w:style w:type="character" w:customStyle="1" w:styleId="SignatureChar">
    <w:name w:val="Signature Char"/>
    <w:basedOn w:val="DefaultParagraphFont"/>
    <w:link w:val="Signature"/>
    <w:uiPriority w:val="99"/>
    <w:rsid w:val="00A221BF"/>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CaseNo">
    <w:name w:val="Case No"/>
    <w:basedOn w:val="Normal"/>
    <w:rsid w:val="006323BE"/>
    <w:pPr>
      <w:ind w:left="432"/>
    </w:pPr>
    <w:rPr>
      <w:rFonts w:cs="Times New Roman"/>
    </w:rPr>
  </w:style>
  <w:style w:type="paragraph" w:customStyle="1" w:styleId="CourtName">
    <w:name w:val="Court Name"/>
    <w:basedOn w:val="Normal"/>
    <w:rsid w:val="004F701A"/>
    <w:pPr>
      <w:spacing w:after="240"/>
      <w:contextualSpacing/>
      <w:jc w:val="center"/>
    </w:pPr>
    <w:rPr>
      <w:rFonts w:cs="Times New Roman"/>
      <w:caps/>
    </w:rPr>
  </w:style>
  <w:style w:type="paragraph" w:customStyle="1" w:styleId="Parties">
    <w:name w:val="Parties"/>
    <w:basedOn w:val="Normal"/>
    <w:rsid w:val="006323BE"/>
    <w:rPr>
      <w:rFonts w:eastAsia="Times New Roman" w:cs="Times New Roman"/>
      <w:szCs w:val="20"/>
    </w:rPr>
  </w:style>
  <w:style w:type="paragraph" w:customStyle="1" w:styleId="PartyType">
    <w:name w:val="Party Type"/>
    <w:basedOn w:val="Normal"/>
    <w:rsid w:val="006323BE"/>
    <w:pPr>
      <w:ind w:left="1440"/>
    </w:pPr>
    <w:rPr>
      <w:rFonts w:eastAsia="Times New Roman" w:cs="Times New Roman"/>
      <w:szCs w:val="20"/>
    </w:rPr>
  </w:style>
  <w:style w:type="paragraph" w:customStyle="1" w:styleId="PleadingTitleCentered">
    <w:name w:val="Pleading Title Centered"/>
    <w:basedOn w:val="Normal"/>
    <w:rsid w:val="006323BE"/>
    <w:pPr>
      <w:keepNext/>
      <w:keepLines/>
      <w:spacing w:after="240"/>
      <w:jc w:val="center"/>
    </w:pPr>
    <w:rPr>
      <w:rFonts w:ascii="Times New Roman Bold" w:eastAsia="Times New Roman" w:hAnsi="Times New Roman Bold" w:cs="Courier New"/>
      <w:b/>
      <w:caps/>
      <w:u w:val="single"/>
    </w:rPr>
  </w:style>
  <w:style w:type="paragraph" w:customStyle="1" w:styleId="versus">
    <w:name w:val="versus"/>
    <w:basedOn w:val="Normal"/>
    <w:rsid w:val="006323BE"/>
    <w:pPr>
      <w:ind w:left="720"/>
    </w:pPr>
    <w:rPr>
      <w:rFonts w:eastAsia="Times New Roman" w:cs="Times New Roman"/>
      <w:szCs w:val="20"/>
    </w:rPr>
  </w:style>
  <w:style w:type="paragraph" w:customStyle="1" w:styleId="border">
    <w:name w:val="border"/>
    <w:basedOn w:val="Normal"/>
    <w:rsid w:val="006323BE"/>
    <w:pPr>
      <w:suppressAutoHyphens/>
      <w:jc w:val="center"/>
    </w:pPr>
    <w:rPr>
      <w:rFonts w:eastAsia="Times New Roman" w:cs="Times New Roman"/>
      <w:bCs/>
      <w:szCs w:val="20"/>
    </w:rPr>
  </w:style>
  <w:style w:type="paragraph" w:customStyle="1" w:styleId="SingleSpacing">
    <w:name w:val="Single Spacing"/>
    <w:basedOn w:val="Normal"/>
    <w:rsid w:val="006323BE"/>
  </w:style>
  <w:style w:type="paragraph" w:customStyle="1" w:styleId="PLDDateindent">
    <w:name w:val="PLD Date indent"/>
    <w:basedOn w:val="Normal"/>
    <w:rsid w:val="006323BE"/>
    <w:pPr>
      <w:spacing w:after="240"/>
      <w:ind w:firstLine="720"/>
    </w:pPr>
    <w:rPr>
      <w:rFonts w:eastAsia="Times New Roman" w:cs="Times New Roman"/>
    </w:rPr>
  </w:style>
  <w:style w:type="paragraph" w:customStyle="1" w:styleId="PLDDate">
    <w:name w:val="PLD Date"/>
    <w:basedOn w:val="Normal"/>
    <w:semiHidden/>
    <w:rsid w:val="00A221BF"/>
    <w:pPr>
      <w:ind w:left="720" w:hanging="720"/>
    </w:pPr>
  </w:style>
  <w:style w:type="paragraph" w:customStyle="1" w:styleId="CoverAttorneyName">
    <w:name w:val="Cover Attorney Name"/>
    <w:basedOn w:val="Normal"/>
    <w:rsid w:val="00A221BF"/>
    <w:rPr>
      <w:rFonts w:eastAsia="Times New Roman" w:cs="Times New Roman"/>
      <w:szCs w:val="20"/>
    </w:rPr>
  </w:style>
  <w:style w:type="paragraph" w:customStyle="1" w:styleId="CoverAttorneysFor">
    <w:name w:val="Cover Attorneys For"/>
    <w:basedOn w:val="Normal"/>
    <w:rsid w:val="00A221BF"/>
    <w:pPr>
      <w:spacing w:before="240"/>
    </w:pPr>
    <w:rPr>
      <w:rFonts w:cs="Times New Roman"/>
      <w:szCs w:val="22"/>
    </w:rPr>
  </w:style>
  <w:style w:type="paragraph" w:customStyle="1" w:styleId="CoverFirmName">
    <w:name w:val="Cover Firm Name"/>
    <w:basedOn w:val="Normal"/>
    <w:rsid w:val="00A221BF"/>
    <w:rPr>
      <w:rFonts w:cs="Times New Roman"/>
      <w:caps/>
      <w:szCs w:val="22"/>
    </w:rPr>
  </w:style>
  <w:style w:type="paragraph" w:customStyle="1" w:styleId="CoverOfficeAddress">
    <w:name w:val="Cover Office Address"/>
    <w:basedOn w:val="Normal"/>
    <w:rsid w:val="00A221BF"/>
    <w:rPr>
      <w:rFonts w:cs="Times New Roman"/>
      <w:szCs w:val="22"/>
    </w:rPr>
  </w:style>
  <w:style w:type="paragraph" w:customStyle="1" w:styleId="PleadingTitle">
    <w:name w:val="Pleading Title"/>
    <w:basedOn w:val="Normal"/>
    <w:rsid w:val="00A221BF"/>
    <w:pPr>
      <w:suppressAutoHyphens/>
      <w:ind w:left="144"/>
    </w:pPr>
    <w:rPr>
      <w:rFonts w:eastAsia="Times New Roman" w:cs="Times New Roman"/>
      <w:b/>
      <w:bCs/>
      <w:szCs w:val="20"/>
      <w:u w:val="single"/>
    </w:rPr>
  </w:style>
  <w:style w:type="paragraph" w:customStyle="1" w:styleId="SigAttorneyName">
    <w:name w:val="Sig Attorney Name"/>
    <w:basedOn w:val="Normal"/>
    <w:rsid w:val="00A221BF"/>
    <w:pPr>
      <w:tabs>
        <w:tab w:val="center" w:pos="5760"/>
      </w:tabs>
      <w:ind w:left="4320"/>
    </w:pPr>
    <w:rPr>
      <w:rFonts w:eastAsia="Times New Roman" w:cs="Times New Roman"/>
      <w:szCs w:val="20"/>
    </w:rPr>
  </w:style>
  <w:style w:type="paragraph" w:customStyle="1" w:styleId="SigAttorneysFor">
    <w:name w:val="Sig Attorneys For"/>
    <w:basedOn w:val="Normal"/>
    <w:rsid w:val="004F701A"/>
    <w:pPr>
      <w:spacing w:before="240" w:after="240"/>
      <w:ind w:left="4320"/>
    </w:pPr>
    <w:rPr>
      <w:rFonts w:eastAsia="Times New Roman" w:cs="Times New Roman"/>
      <w:iCs/>
      <w:szCs w:val="20"/>
    </w:rPr>
  </w:style>
  <w:style w:type="paragraph" w:customStyle="1" w:styleId="SigByLine">
    <w:name w:val="Sig By Line"/>
    <w:basedOn w:val="Normal"/>
    <w:rsid w:val="00A221BF"/>
    <w:pPr>
      <w:tabs>
        <w:tab w:val="right" w:pos="4176"/>
        <w:tab w:val="right" w:pos="9270"/>
      </w:tabs>
      <w:ind w:left="3744"/>
    </w:pPr>
  </w:style>
  <w:style w:type="paragraph" w:customStyle="1" w:styleId="SigECF">
    <w:name w:val="Sig ECF"/>
    <w:basedOn w:val="Normal"/>
    <w:rsid w:val="00A221BF"/>
    <w:pPr>
      <w:ind w:left="4176"/>
    </w:pPr>
  </w:style>
  <w:style w:type="paragraph" w:customStyle="1" w:styleId="SigFirmName">
    <w:name w:val="Sig Firm Name"/>
    <w:basedOn w:val="Normal"/>
    <w:rsid w:val="00DE0036"/>
    <w:pPr>
      <w:ind w:left="4320"/>
    </w:pPr>
    <w:rPr>
      <w:rFonts w:eastAsia="Times New Roman" w:cs="Times New Roman"/>
      <w:caps/>
      <w:szCs w:val="20"/>
    </w:rPr>
  </w:style>
  <w:style w:type="paragraph" w:customStyle="1" w:styleId="SigOfficeAddress">
    <w:name w:val="Sig Office Address"/>
    <w:basedOn w:val="Normal"/>
    <w:rsid w:val="00A221BF"/>
    <w:pPr>
      <w:ind w:left="4320"/>
    </w:pPr>
  </w:style>
  <w:style w:type="paragraph" w:customStyle="1" w:styleId="SigSignatureLine">
    <w:name w:val="Sig SignatureLine"/>
    <w:basedOn w:val="Normal"/>
    <w:rsid w:val="0034529D"/>
    <w:pPr>
      <w:tabs>
        <w:tab w:val="right" w:pos="9360"/>
      </w:tabs>
      <w:ind w:left="4320"/>
    </w:pPr>
    <w:rPr>
      <w:u w:val="single"/>
    </w:rPr>
  </w:style>
  <w:style w:type="paragraph" w:styleId="NoSpacing">
    <w:name w:val="No Spacing"/>
    <w:uiPriority w:val="1"/>
    <w:qFormat/>
    <w:rsid w:val="00A929DF"/>
    <w:pPr>
      <w:spacing w:after="0" w:line="240" w:lineRule="auto"/>
    </w:pPr>
  </w:style>
  <w:style w:type="character" w:styleId="SubtleEmphasis">
    <w:name w:val="Subtle Emphasis"/>
    <w:basedOn w:val="DefaultParagraphFont"/>
    <w:uiPriority w:val="19"/>
    <w:qFormat/>
    <w:rsid w:val="00A929DF"/>
    <w:rPr>
      <w:i/>
      <w:iCs/>
    </w:rPr>
  </w:style>
  <w:style w:type="character" w:styleId="Emphasis">
    <w:name w:val="Emphasis"/>
    <w:basedOn w:val="DefaultParagraphFont"/>
    <w:uiPriority w:val="20"/>
    <w:qFormat/>
    <w:rsid w:val="00A929DF"/>
    <w:rPr>
      <w:i/>
      <w:iCs/>
      <w:color w:val="F79646" w:themeColor="accent6"/>
    </w:rPr>
  </w:style>
  <w:style w:type="character" w:styleId="IntenseEmphasis">
    <w:name w:val="Intense Emphasis"/>
    <w:basedOn w:val="DefaultParagraphFont"/>
    <w:uiPriority w:val="21"/>
    <w:qFormat/>
    <w:rsid w:val="00A929DF"/>
    <w:rPr>
      <w:b/>
      <w:bCs/>
      <w:i/>
      <w:iCs/>
    </w:rPr>
  </w:style>
  <w:style w:type="character" w:styleId="Strong">
    <w:name w:val="Strong"/>
    <w:basedOn w:val="DefaultParagraphFont"/>
    <w:uiPriority w:val="22"/>
    <w:qFormat/>
    <w:rsid w:val="00A929DF"/>
    <w:rPr>
      <w:b/>
      <w:bCs/>
    </w:rPr>
  </w:style>
  <w:style w:type="paragraph" w:styleId="IntenseQuote">
    <w:name w:val="Intense Quote"/>
    <w:basedOn w:val="Normal"/>
    <w:next w:val="Normal"/>
    <w:link w:val="IntenseQuoteChar"/>
    <w:uiPriority w:val="30"/>
    <w:qFormat/>
    <w:rsid w:val="00A929D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A929DF"/>
    <w:rPr>
      <w:rFonts w:asciiTheme="majorHAnsi" w:eastAsiaTheme="majorEastAsia" w:hAnsiTheme="majorHAnsi" w:cstheme="majorBidi"/>
      <w:i/>
      <w:iCs/>
      <w:color w:val="F79646" w:themeColor="accent6"/>
      <w:sz w:val="32"/>
      <w:szCs w:val="32"/>
    </w:rPr>
  </w:style>
  <w:style w:type="character" w:styleId="SubtleReference">
    <w:name w:val="Subtle Reference"/>
    <w:basedOn w:val="DefaultParagraphFont"/>
    <w:uiPriority w:val="31"/>
    <w:qFormat/>
    <w:rsid w:val="00A929DF"/>
    <w:rPr>
      <w:smallCaps/>
      <w:color w:val="595959" w:themeColor="text1" w:themeTint="A6"/>
    </w:rPr>
  </w:style>
  <w:style w:type="character" w:styleId="IntenseReference">
    <w:name w:val="Intense Reference"/>
    <w:basedOn w:val="DefaultParagraphFont"/>
    <w:uiPriority w:val="32"/>
    <w:qFormat/>
    <w:rsid w:val="00A929DF"/>
    <w:rPr>
      <w:b/>
      <w:bCs/>
      <w:smallCaps/>
      <w:color w:val="F79646" w:themeColor="accent6"/>
    </w:rPr>
  </w:style>
  <w:style w:type="character" w:styleId="BookTitle">
    <w:name w:val="Book Title"/>
    <w:basedOn w:val="DefaultParagraphFont"/>
    <w:uiPriority w:val="33"/>
    <w:qFormat/>
    <w:rsid w:val="00A929DF"/>
    <w:rPr>
      <w:b/>
      <w:bCs/>
      <w:caps w:val="0"/>
      <w:smallCaps/>
      <w:spacing w:val="7"/>
      <w:sz w:val="21"/>
      <w:szCs w:val="21"/>
    </w:rPr>
  </w:style>
  <w:style w:type="paragraph" w:styleId="ListParagraph">
    <w:name w:val="List Paragraph"/>
    <w:basedOn w:val="Normal"/>
    <w:uiPriority w:val="34"/>
    <w:qFormat/>
    <w:rsid w:val="00986964"/>
    <w:pPr>
      <w:ind w:left="720"/>
      <w:contextualSpacing/>
    </w:pPr>
  </w:style>
  <w:style w:type="character" w:customStyle="1" w:styleId="apple-converted-space">
    <w:name w:val="apple-converted-space"/>
    <w:basedOn w:val="DefaultParagraphFont"/>
    <w:rsid w:val="00050473"/>
  </w:style>
  <w:style w:type="paragraph" w:customStyle="1" w:styleId="DarkList-Accent51">
    <w:name w:val="Dark List - Accent 51"/>
    <w:basedOn w:val="Normal"/>
    <w:uiPriority w:val="34"/>
    <w:rsid w:val="00050473"/>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15079A"/>
    <w:rPr>
      <w:sz w:val="16"/>
      <w:szCs w:val="16"/>
    </w:rPr>
  </w:style>
  <w:style w:type="paragraph" w:styleId="CommentText">
    <w:name w:val="annotation text"/>
    <w:basedOn w:val="Normal"/>
    <w:link w:val="CommentTextChar"/>
    <w:uiPriority w:val="99"/>
    <w:semiHidden/>
    <w:unhideWhenUsed/>
    <w:rsid w:val="0015079A"/>
    <w:rPr>
      <w:sz w:val="20"/>
      <w:szCs w:val="20"/>
    </w:rPr>
  </w:style>
  <w:style w:type="character" w:customStyle="1" w:styleId="CommentTextChar">
    <w:name w:val="Comment Text Char"/>
    <w:basedOn w:val="DefaultParagraphFont"/>
    <w:link w:val="CommentText"/>
    <w:uiPriority w:val="99"/>
    <w:semiHidden/>
    <w:rsid w:val="0015079A"/>
    <w:rPr>
      <w:sz w:val="20"/>
      <w:szCs w:val="20"/>
    </w:rPr>
  </w:style>
  <w:style w:type="paragraph" w:styleId="CommentSubject">
    <w:name w:val="annotation subject"/>
    <w:basedOn w:val="CommentText"/>
    <w:next w:val="CommentText"/>
    <w:link w:val="CommentSubjectChar"/>
    <w:uiPriority w:val="99"/>
    <w:semiHidden/>
    <w:unhideWhenUsed/>
    <w:rsid w:val="0015079A"/>
    <w:rPr>
      <w:b/>
      <w:bCs/>
    </w:rPr>
  </w:style>
  <w:style w:type="character" w:customStyle="1" w:styleId="CommentSubjectChar">
    <w:name w:val="Comment Subject Char"/>
    <w:basedOn w:val="CommentTextChar"/>
    <w:link w:val="CommentSubject"/>
    <w:uiPriority w:val="99"/>
    <w:semiHidden/>
    <w:rsid w:val="0015079A"/>
    <w:rPr>
      <w:b/>
      <w:bCs/>
      <w:sz w:val="20"/>
      <w:szCs w:val="20"/>
    </w:rPr>
  </w:style>
  <w:style w:type="paragraph" w:styleId="BalloonText">
    <w:name w:val="Balloon Text"/>
    <w:basedOn w:val="Normal"/>
    <w:link w:val="BalloonTextChar"/>
    <w:uiPriority w:val="99"/>
    <w:semiHidden/>
    <w:unhideWhenUsed/>
    <w:rsid w:val="00150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9A"/>
    <w:rPr>
      <w:rFonts w:ascii="Segoe UI" w:hAnsi="Segoe UI" w:cs="Segoe UI"/>
      <w:sz w:val="18"/>
      <w:szCs w:val="18"/>
    </w:rPr>
  </w:style>
  <w:style w:type="character" w:customStyle="1" w:styleId="costarpage">
    <w:name w:val="co_starpage"/>
    <w:basedOn w:val="DefaultParagraphFont"/>
    <w:rsid w:val="001A73A9"/>
  </w:style>
  <w:style w:type="character" w:customStyle="1" w:styleId="cosearchterm">
    <w:name w:val="co_searchterm"/>
    <w:basedOn w:val="DefaultParagraphFont"/>
    <w:rsid w:val="000D7863"/>
  </w:style>
  <w:style w:type="paragraph" w:customStyle="1" w:styleId="Body">
    <w:name w:val="Body"/>
    <w:rsid w:val="00807A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semiHidden/>
    <w:unhideWhenUsed/>
    <w:rsid w:val="00807AB4"/>
    <w:pPr>
      <w:pBdr>
        <w:top w:val="nil"/>
        <w:left w:val="nil"/>
        <w:bottom w:val="nil"/>
        <w:right w:val="nil"/>
        <w:between w:val="nil"/>
        <w:bar w:val="nil"/>
      </w:pBdr>
    </w:pPr>
    <w:rPr>
      <w:rFonts w:eastAsia="Arial Unicode MS" w:cs="Times New Roman"/>
      <w:sz w:val="20"/>
      <w:szCs w:val="20"/>
      <w:bdr w:val="nil"/>
    </w:rPr>
  </w:style>
  <w:style w:type="character" w:customStyle="1" w:styleId="FootnoteTextChar">
    <w:name w:val="Footnote Text Char"/>
    <w:basedOn w:val="DefaultParagraphFont"/>
    <w:link w:val="FootnoteText"/>
    <w:uiPriority w:val="99"/>
    <w:semiHidden/>
    <w:rsid w:val="00807AB4"/>
    <w:rPr>
      <w:rFonts w:eastAsia="Arial Unicode MS" w:cs="Times New Roman"/>
      <w:sz w:val="20"/>
      <w:szCs w:val="20"/>
      <w:bdr w:val="nil"/>
    </w:rPr>
  </w:style>
  <w:style w:type="character" w:styleId="FootnoteReference">
    <w:name w:val="footnote reference"/>
    <w:basedOn w:val="DefaultParagraphFont"/>
    <w:uiPriority w:val="99"/>
    <w:semiHidden/>
    <w:unhideWhenUsed/>
    <w:rsid w:val="00807AB4"/>
    <w:rPr>
      <w:vertAlign w:val="superscript"/>
    </w:rPr>
  </w:style>
  <w:style w:type="paragraph" w:customStyle="1" w:styleId="LetterRe">
    <w:name w:val="Letter Re"/>
    <w:basedOn w:val="Normal"/>
    <w:rsid w:val="00F81C9B"/>
    <w:pPr>
      <w:spacing w:after="240"/>
      <w:ind w:left="720" w:hanging="720"/>
    </w:pPr>
    <w:rPr>
      <w:rFonts w:eastAsia="Times New Roman" w:cs="Times New Roman"/>
      <w:u w:val="single"/>
    </w:rPr>
  </w:style>
  <w:style w:type="character" w:styleId="Hyperlink">
    <w:name w:val="Hyperlink"/>
    <w:basedOn w:val="DefaultParagraphFont"/>
    <w:uiPriority w:val="99"/>
    <w:semiHidden/>
    <w:unhideWhenUsed/>
    <w:rsid w:val="005D4540"/>
    <w:rPr>
      <w:color w:val="0000FF"/>
      <w:u w:val="single"/>
    </w:rPr>
  </w:style>
  <w:style w:type="paragraph" w:styleId="Caption">
    <w:name w:val="caption"/>
    <w:basedOn w:val="Normal"/>
    <w:next w:val="Normal"/>
    <w:uiPriority w:val="35"/>
    <w:semiHidden/>
    <w:unhideWhenUsed/>
    <w:qFormat/>
    <w:rsid w:val="00A929DF"/>
    <w:pPr>
      <w:spacing w:line="240" w:lineRule="auto"/>
    </w:pPr>
    <w:rPr>
      <w:b/>
      <w:bCs/>
      <w:smallCap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491">
      <w:bodyDiv w:val="1"/>
      <w:marLeft w:val="0"/>
      <w:marRight w:val="0"/>
      <w:marTop w:val="0"/>
      <w:marBottom w:val="0"/>
      <w:divBdr>
        <w:top w:val="none" w:sz="0" w:space="0" w:color="auto"/>
        <w:left w:val="none" w:sz="0" w:space="0" w:color="auto"/>
        <w:bottom w:val="none" w:sz="0" w:space="0" w:color="auto"/>
        <w:right w:val="none" w:sz="0" w:space="0" w:color="auto"/>
      </w:divBdr>
      <w:divsChild>
        <w:div w:id="81606359">
          <w:marLeft w:val="0"/>
          <w:marRight w:val="0"/>
          <w:marTop w:val="0"/>
          <w:marBottom w:val="0"/>
          <w:divBdr>
            <w:top w:val="none" w:sz="0" w:space="0" w:color="auto"/>
            <w:left w:val="none" w:sz="0" w:space="0" w:color="auto"/>
            <w:bottom w:val="none" w:sz="0" w:space="0" w:color="auto"/>
            <w:right w:val="none" w:sz="0" w:space="0" w:color="auto"/>
          </w:divBdr>
          <w:divsChild>
            <w:div w:id="14579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7618">
      <w:bodyDiv w:val="1"/>
      <w:marLeft w:val="0"/>
      <w:marRight w:val="0"/>
      <w:marTop w:val="0"/>
      <w:marBottom w:val="0"/>
      <w:divBdr>
        <w:top w:val="none" w:sz="0" w:space="0" w:color="auto"/>
        <w:left w:val="none" w:sz="0" w:space="0" w:color="auto"/>
        <w:bottom w:val="none" w:sz="0" w:space="0" w:color="auto"/>
        <w:right w:val="none" w:sz="0" w:space="0" w:color="auto"/>
      </w:divBdr>
      <w:divsChild>
        <w:div w:id="706835464">
          <w:marLeft w:val="0"/>
          <w:marRight w:val="0"/>
          <w:marTop w:val="0"/>
          <w:marBottom w:val="0"/>
          <w:divBdr>
            <w:top w:val="none" w:sz="0" w:space="0" w:color="auto"/>
            <w:left w:val="none" w:sz="0" w:space="0" w:color="auto"/>
            <w:bottom w:val="none" w:sz="0" w:space="0" w:color="auto"/>
            <w:right w:val="none" w:sz="0" w:space="0" w:color="auto"/>
          </w:divBdr>
          <w:divsChild>
            <w:div w:id="15199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496">
      <w:bodyDiv w:val="1"/>
      <w:marLeft w:val="0"/>
      <w:marRight w:val="0"/>
      <w:marTop w:val="0"/>
      <w:marBottom w:val="0"/>
      <w:divBdr>
        <w:top w:val="none" w:sz="0" w:space="0" w:color="auto"/>
        <w:left w:val="none" w:sz="0" w:space="0" w:color="auto"/>
        <w:bottom w:val="none" w:sz="0" w:space="0" w:color="auto"/>
        <w:right w:val="none" w:sz="0" w:space="0" w:color="auto"/>
      </w:divBdr>
      <w:divsChild>
        <w:div w:id="885794806">
          <w:marLeft w:val="0"/>
          <w:marRight w:val="0"/>
          <w:marTop w:val="0"/>
          <w:marBottom w:val="0"/>
          <w:divBdr>
            <w:top w:val="none" w:sz="0" w:space="0" w:color="auto"/>
            <w:left w:val="none" w:sz="0" w:space="0" w:color="auto"/>
            <w:bottom w:val="none" w:sz="0" w:space="0" w:color="auto"/>
            <w:right w:val="none" w:sz="0" w:space="0" w:color="auto"/>
          </w:divBdr>
          <w:divsChild>
            <w:div w:id="162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471">
      <w:bodyDiv w:val="1"/>
      <w:marLeft w:val="0"/>
      <w:marRight w:val="0"/>
      <w:marTop w:val="0"/>
      <w:marBottom w:val="0"/>
      <w:divBdr>
        <w:top w:val="none" w:sz="0" w:space="0" w:color="auto"/>
        <w:left w:val="none" w:sz="0" w:space="0" w:color="auto"/>
        <w:bottom w:val="none" w:sz="0" w:space="0" w:color="auto"/>
        <w:right w:val="none" w:sz="0" w:space="0" w:color="auto"/>
      </w:divBdr>
      <w:divsChild>
        <w:div w:id="1996450614">
          <w:marLeft w:val="0"/>
          <w:marRight w:val="0"/>
          <w:marTop w:val="0"/>
          <w:marBottom w:val="0"/>
          <w:divBdr>
            <w:top w:val="none" w:sz="0" w:space="0" w:color="auto"/>
            <w:left w:val="none" w:sz="0" w:space="0" w:color="auto"/>
            <w:bottom w:val="none" w:sz="0" w:space="0" w:color="auto"/>
            <w:right w:val="none" w:sz="0" w:space="0" w:color="auto"/>
          </w:divBdr>
          <w:divsChild>
            <w:div w:id="1306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5319">
      <w:bodyDiv w:val="1"/>
      <w:marLeft w:val="0"/>
      <w:marRight w:val="0"/>
      <w:marTop w:val="0"/>
      <w:marBottom w:val="0"/>
      <w:divBdr>
        <w:top w:val="none" w:sz="0" w:space="0" w:color="auto"/>
        <w:left w:val="none" w:sz="0" w:space="0" w:color="auto"/>
        <w:bottom w:val="none" w:sz="0" w:space="0" w:color="auto"/>
        <w:right w:val="none" w:sz="0" w:space="0" w:color="auto"/>
      </w:divBdr>
      <w:divsChild>
        <w:div w:id="1100685158">
          <w:marLeft w:val="0"/>
          <w:marRight w:val="0"/>
          <w:marTop w:val="0"/>
          <w:marBottom w:val="0"/>
          <w:divBdr>
            <w:top w:val="none" w:sz="0" w:space="0" w:color="auto"/>
            <w:left w:val="none" w:sz="0" w:space="0" w:color="auto"/>
            <w:bottom w:val="none" w:sz="0" w:space="0" w:color="auto"/>
            <w:right w:val="none" w:sz="0" w:space="0" w:color="auto"/>
          </w:divBdr>
          <w:divsChild>
            <w:div w:id="1173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7979">
      <w:bodyDiv w:val="1"/>
      <w:marLeft w:val="0"/>
      <w:marRight w:val="0"/>
      <w:marTop w:val="0"/>
      <w:marBottom w:val="0"/>
      <w:divBdr>
        <w:top w:val="none" w:sz="0" w:space="0" w:color="auto"/>
        <w:left w:val="none" w:sz="0" w:space="0" w:color="auto"/>
        <w:bottom w:val="none" w:sz="0" w:space="0" w:color="auto"/>
        <w:right w:val="none" w:sz="0" w:space="0" w:color="auto"/>
      </w:divBdr>
      <w:divsChild>
        <w:div w:id="1028605003">
          <w:marLeft w:val="0"/>
          <w:marRight w:val="0"/>
          <w:marTop w:val="0"/>
          <w:marBottom w:val="0"/>
          <w:divBdr>
            <w:top w:val="none" w:sz="0" w:space="0" w:color="auto"/>
            <w:left w:val="none" w:sz="0" w:space="0" w:color="auto"/>
            <w:bottom w:val="none" w:sz="0" w:space="0" w:color="auto"/>
            <w:right w:val="none" w:sz="0" w:space="0" w:color="auto"/>
          </w:divBdr>
          <w:divsChild>
            <w:div w:id="7521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1295">
      <w:bodyDiv w:val="1"/>
      <w:marLeft w:val="0"/>
      <w:marRight w:val="0"/>
      <w:marTop w:val="0"/>
      <w:marBottom w:val="0"/>
      <w:divBdr>
        <w:top w:val="none" w:sz="0" w:space="0" w:color="auto"/>
        <w:left w:val="none" w:sz="0" w:space="0" w:color="auto"/>
        <w:bottom w:val="none" w:sz="0" w:space="0" w:color="auto"/>
        <w:right w:val="none" w:sz="0" w:space="0" w:color="auto"/>
      </w:divBdr>
      <w:divsChild>
        <w:div w:id="793793496">
          <w:marLeft w:val="0"/>
          <w:marRight w:val="0"/>
          <w:marTop w:val="0"/>
          <w:marBottom w:val="0"/>
          <w:divBdr>
            <w:top w:val="none" w:sz="0" w:space="0" w:color="auto"/>
            <w:left w:val="none" w:sz="0" w:space="0" w:color="auto"/>
            <w:bottom w:val="none" w:sz="0" w:space="0" w:color="auto"/>
            <w:right w:val="none" w:sz="0" w:space="0" w:color="auto"/>
          </w:divBdr>
          <w:divsChild>
            <w:div w:id="1434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3256">
      <w:bodyDiv w:val="1"/>
      <w:marLeft w:val="0"/>
      <w:marRight w:val="0"/>
      <w:marTop w:val="0"/>
      <w:marBottom w:val="0"/>
      <w:divBdr>
        <w:top w:val="none" w:sz="0" w:space="0" w:color="auto"/>
        <w:left w:val="none" w:sz="0" w:space="0" w:color="auto"/>
        <w:bottom w:val="none" w:sz="0" w:space="0" w:color="auto"/>
        <w:right w:val="none" w:sz="0" w:space="0" w:color="auto"/>
      </w:divBdr>
      <w:divsChild>
        <w:div w:id="1164709630">
          <w:marLeft w:val="0"/>
          <w:marRight w:val="0"/>
          <w:marTop w:val="0"/>
          <w:marBottom w:val="0"/>
          <w:divBdr>
            <w:top w:val="none" w:sz="0" w:space="0" w:color="auto"/>
            <w:left w:val="none" w:sz="0" w:space="0" w:color="auto"/>
            <w:bottom w:val="none" w:sz="0" w:space="0" w:color="auto"/>
            <w:right w:val="none" w:sz="0" w:space="0" w:color="auto"/>
          </w:divBdr>
          <w:divsChild>
            <w:div w:id="190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62883">
      <w:bodyDiv w:val="1"/>
      <w:marLeft w:val="0"/>
      <w:marRight w:val="0"/>
      <w:marTop w:val="0"/>
      <w:marBottom w:val="0"/>
      <w:divBdr>
        <w:top w:val="none" w:sz="0" w:space="0" w:color="auto"/>
        <w:left w:val="none" w:sz="0" w:space="0" w:color="auto"/>
        <w:bottom w:val="none" w:sz="0" w:space="0" w:color="auto"/>
        <w:right w:val="none" w:sz="0" w:space="0" w:color="auto"/>
      </w:divBdr>
      <w:divsChild>
        <w:div w:id="187333231">
          <w:marLeft w:val="0"/>
          <w:marRight w:val="0"/>
          <w:marTop w:val="0"/>
          <w:marBottom w:val="0"/>
          <w:divBdr>
            <w:top w:val="none" w:sz="0" w:space="0" w:color="auto"/>
            <w:left w:val="none" w:sz="0" w:space="0" w:color="auto"/>
            <w:bottom w:val="none" w:sz="0" w:space="0" w:color="auto"/>
            <w:right w:val="none" w:sz="0" w:space="0" w:color="auto"/>
          </w:divBdr>
          <w:divsChild>
            <w:div w:id="7477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1244">
      <w:bodyDiv w:val="1"/>
      <w:marLeft w:val="0"/>
      <w:marRight w:val="0"/>
      <w:marTop w:val="0"/>
      <w:marBottom w:val="0"/>
      <w:divBdr>
        <w:top w:val="none" w:sz="0" w:space="0" w:color="auto"/>
        <w:left w:val="none" w:sz="0" w:space="0" w:color="auto"/>
        <w:bottom w:val="none" w:sz="0" w:space="0" w:color="auto"/>
        <w:right w:val="none" w:sz="0" w:space="0" w:color="auto"/>
      </w:divBdr>
      <w:divsChild>
        <w:div w:id="804086986">
          <w:marLeft w:val="0"/>
          <w:marRight w:val="0"/>
          <w:marTop w:val="0"/>
          <w:marBottom w:val="0"/>
          <w:divBdr>
            <w:top w:val="none" w:sz="0" w:space="0" w:color="auto"/>
            <w:left w:val="none" w:sz="0" w:space="0" w:color="auto"/>
            <w:bottom w:val="none" w:sz="0" w:space="0" w:color="auto"/>
            <w:right w:val="none" w:sz="0" w:space="0" w:color="auto"/>
          </w:divBdr>
          <w:divsChild>
            <w:div w:id="3975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900">
      <w:bodyDiv w:val="1"/>
      <w:marLeft w:val="0"/>
      <w:marRight w:val="0"/>
      <w:marTop w:val="0"/>
      <w:marBottom w:val="0"/>
      <w:divBdr>
        <w:top w:val="none" w:sz="0" w:space="0" w:color="auto"/>
        <w:left w:val="none" w:sz="0" w:space="0" w:color="auto"/>
        <w:bottom w:val="none" w:sz="0" w:space="0" w:color="auto"/>
        <w:right w:val="none" w:sz="0" w:space="0" w:color="auto"/>
      </w:divBdr>
      <w:divsChild>
        <w:div w:id="615404815">
          <w:marLeft w:val="0"/>
          <w:marRight w:val="0"/>
          <w:marTop w:val="0"/>
          <w:marBottom w:val="0"/>
          <w:divBdr>
            <w:top w:val="none" w:sz="0" w:space="0" w:color="auto"/>
            <w:left w:val="none" w:sz="0" w:space="0" w:color="auto"/>
            <w:bottom w:val="none" w:sz="0" w:space="0" w:color="auto"/>
            <w:right w:val="none" w:sz="0" w:space="0" w:color="auto"/>
          </w:divBdr>
          <w:divsChild>
            <w:div w:id="2974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243">
      <w:bodyDiv w:val="1"/>
      <w:marLeft w:val="0"/>
      <w:marRight w:val="0"/>
      <w:marTop w:val="0"/>
      <w:marBottom w:val="0"/>
      <w:divBdr>
        <w:top w:val="none" w:sz="0" w:space="0" w:color="auto"/>
        <w:left w:val="none" w:sz="0" w:space="0" w:color="auto"/>
        <w:bottom w:val="none" w:sz="0" w:space="0" w:color="auto"/>
        <w:right w:val="none" w:sz="0" w:space="0" w:color="auto"/>
      </w:divBdr>
      <w:divsChild>
        <w:div w:id="648945337">
          <w:marLeft w:val="0"/>
          <w:marRight w:val="0"/>
          <w:marTop w:val="0"/>
          <w:marBottom w:val="0"/>
          <w:divBdr>
            <w:top w:val="none" w:sz="0" w:space="0" w:color="auto"/>
            <w:left w:val="none" w:sz="0" w:space="0" w:color="auto"/>
            <w:bottom w:val="none" w:sz="0" w:space="0" w:color="auto"/>
            <w:right w:val="none" w:sz="0" w:space="0" w:color="auto"/>
          </w:divBdr>
          <w:divsChild>
            <w:div w:id="17428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4506">
      <w:bodyDiv w:val="1"/>
      <w:marLeft w:val="0"/>
      <w:marRight w:val="0"/>
      <w:marTop w:val="0"/>
      <w:marBottom w:val="0"/>
      <w:divBdr>
        <w:top w:val="none" w:sz="0" w:space="0" w:color="auto"/>
        <w:left w:val="none" w:sz="0" w:space="0" w:color="auto"/>
        <w:bottom w:val="none" w:sz="0" w:space="0" w:color="auto"/>
        <w:right w:val="none" w:sz="0" w:space="0" w:color="auto"/>
      </w:divBdr>
      <w:divsChild>
        <w:div w:id="1590187820">
          <w:marLeft w:val="0"/>
          <w:marRight w:val="0"/>
          <w:marTop w:val="0"/>
          <w:marBottom w:val="0"/>
          <w:divBdr>
            <w:top w:val="none" w:sz="0" w:space="0" w:color="auto"/>
            <w:left w:val="none" w:sz="0" w:space="0" w:color="auto"/>
            <w:bottom w:val="none" w:sz="0" w:space="0" w:color="auto"/>
            <w:right w:val="none" w:sz="0" w:space="0" w:color="auto"/>
          </w:divBdr>
          <w:divsChild>
            <w:div w:id="19357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383">
      <w:bodyDiv w:val="1"/>
      <w:marLeft w:val="0"/>
      <w:marRight w:val="0"/>
      <w:marTop w:val="0"/>
      <w:marBottom w:val="0"/>
      <w:divBdr>
        <w:top w:val="none" w:sz="0" w:space="0" w:color="auto"/>
        <w:left w:val="none" w:sz="0" w:space="0" w:color="auto"/>
        <w:bottom w:val="none" w:sz="0" w:space="0" w:color="auto"/>
        <w:right w:val="none" w:sz="0" w:space="0" w:color="auto"/>
      </w:divBdr>
      <w:divsChild>
        <w:div w:id="2102019753">
          <w:marLeft w:val="0"/>
          <w:marRight w:val="0"/>
          <w:marTop w:val="0"/>
          <w:marBottom w:val="0"/>
          <w:divBdr>
            <w:top w:val="none" w:sz="0" w:space="0" w:color="auto"/>
            <w:left w:val="none" w:sz="0" w:space="0" w:color="auto"/>
            <w:bottom w:val="none" w:sz="0" w:space="0" w:color="auto"/>
            <w:right w:val="none" w:sz="0" w:space="0" w:color="auto"/>
          </w:divBdr>
          <w:divsChild>
            <w:div w:id="11828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011">
      <w:bodyDiv w:val="1"/>
      <w:marLeft w:val="0"/>
      <w:marRight w:val="0"/>
      <w:marTop w:val="0"/>
      <w:marBottom w:val="0"/>
      <w:divBdr>
        <w:top w:val="none" w:sz="0" w:space="0" w:color="auto"/>
        <w:left w:val="none" w:sz="0" w:space="0" w:color="auto"/>
        <w:bottom w:val="none" w:sz="0" w:space="0" w:color="auto"/>
        <w:right w:val="none" w:sz="0" w:space="0" w:color="auto"/>
      </w:divBdr>
      <w:divsChild>
        <w:div w:id="1149715119">
          <w:marLeft w:val="0"/>
          <w:marRight w:val="0"/>
          <w:marTop w:val="0"/>
          <w:marBottom w:val="0"/>
          <w:divBdr>
            <w:top w:val="none" w:sz="0" w:space="0" w:color="auto"/>
            <w:left w:val="none" w:sz="0" w:space="0" w:color="auto"/>
            <w:bottom w:val="none" w:sz="0" w:space="0" w:color="auto"/>
            <w:right w:val="none" w:sz="0" w:space="0" w:color="auto"/>
          </w:divBdr>
          <w:divsChild>
            <w:div w:id="64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77130">
      <w:bodyDiv w:val="1"/>
      <w:marLeft w:val="0"/>
      <w:marRight w:val="0"/>
      <w:marTop w:val="0"/>
      <w:marBottom w:val="0"/>
      <w:divBdr>
        <w:top w:val="none" w:sz="0" w:space="0" w:color="auto"/>
        <w:left w:val="none" w:sz="0" w:space="0" w:color="auto"/>
        <w:bottom w:val="none" w:sz="0" w:space="0" w:color="auto"/>
        <w:right w:val="none" w:sz="0" w:space="0" w:color="auto"/>
      </w:divBdr>
      <w:divsChild>
        <w:div w:id="1835489145">
          <w:marLeft w:val="0"/>
          <w:marRight w:val="0"/>
          <w:marTop w:val="0"/>
          <w:marBottom w:val="0"/>
          <w:divBdr>
            <w:top w:val="none" w:sz="0" w:space="0" w:color="auto"/>
            <w:left w:val="none" w:sz="0" w:space="0" w:color="auto"/>
            <w:bottom w:val="none" w:sz="0" w:space="0" w:color="auto"/>
            <w:right w:val="none" w:sz="0" w:space="0" w:color="auto"/>
          </w:divBdr>
          <w:divsChild>
            <w:div w:id="1279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8337">
      <w:bodyDiv w:val="1"/>
      <w:marLeft w:val="0"/>
      <w:marRight w:val="0"/>
      <w:marTop w:val="0"/>
      <w:marBottom w:val="0"/>
      <w:divBdr>
        <w:top w:val="none" w:sz="0" w:space="0" w:color="auto"/>
        <w:left w:val="none" w:sz="0" w:space="0" w:color="auto"/>
        <w:bottom w:val="none" w:sz="0" w:space="0" w:color="auto"/>
        <w:right w:val="none" w:sz="0" w:space="0" w:color="auto"/>
      </w:divBdr>
      <w:divsChild>
        <w:div w:id="1589339333">
          <w:marLeft w:val="0"/>
          <w:marRight w:val="0"/>
          <w:marTop w:val="0"/>
          <w:marBottom w:val="0"/>
          <w:divBdr>
            <w:top w:val="none" w:sz="0" w:space="0" w:color="auto"/>
            <w:left w:val="none" w:sz="0" w:space="0" w:color="auto"/>
            <w:bottom w:val="none" w:sz="0" w:space="0" w:color="auto"/>
            <w:right w:val="none" w:sz="0" w:space="0" w:color="auto"/>
          </w:divBdr>
          <w:divsChild>
            <w:div w:id="13503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2580">
      <w:bodyDiv w:val="1"/>
      <w:marLeft w:val="0"/>
      <w:marRight w:val="0"/>
      <w:marTop w:val="0"/>
      <w:marBottom w:val="0"/>
      <w:divBdr>
        <w:top w:val="none" w:sz="0" w:space="0" w:color="auto"/>
        <w:left w:val="none" w:sz="0" w:space="0" w:color="auto"/>
        <w:bottom w:val="none" w:sz="0" w:space="0" w:color="auto"/>
        <w:right w:val="none" w:sz="0" w:space="0" w:color="auto"/>
      </w:divBdr>
      <w:divsChild>
        <w:div w:id="1763840518">
          <w:marLeft w:val="0"/>
          <w:marRight w:val="0"/>
          <w:marTop w:val="0"/>
          <w:marBottom w:val="0"/>
          <w:divBdr>
            <w:top w:val="none" w:sz="0" w:space="0" w:color="auto"/>
            <w:left w:val="none" w:sz="0" w:space="0" w:color="auto"/>
            <w:bottom w:val="none" w:sz="0" w:space="0" w:color="auto"/>
            <w:right w:val="none" w:sz="0" w:space="0" w:color="auto"/>
          </w:divBdr>
          <w:divsChild>
            <w:div w:id="1145470721">
              <w:marLeft w:val="0"/>
              <w:marRight w:val="0"/>
              <w:marTop w:val="0"/>
              <w:marBottom w:val="0"/>
              <w:divBdr>
                <w:top w:val="none" w:sz="0" w:space="0" w:color="auto"/>
                <w:left w:val="none" w:sz="0" w:space="0" w:color="auto"/>
                <w:bottom w:val="none" w:sz="0" w:space="0" w:color="auto"/>
                <w:right w:val="none" w:sz="0" w:space="0" w:color="auto"/>
              </w:divBdr>
              <w:divsChild>
                <w:div w:id="275065414">
                  <w:marLeft w:val="0"/>
                  <w:marRight w:val="0"/>
                  <w:marTop w:val="0"/>
                  <w:marBottom w:val="0"/>
                  <w:divBdr>
                    <w:top w:val="none" w:sz="0" w:space="0" w:color="auto"/>
                    <w:left w:val="none" w:sz="0" w:space="0" w:color="auto"/>
                    <w:bottom w:val="none" w:sz="0" w:space="0" w:color="auto"/>
                    <w:right w:val="none" w:sz="0" w:space="0" w:color="auto"/>
                  </w:divBdr>
                  <w:divsChild>
                    <w:div w:id="21115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6917">
      <w:bodyDiv w:val="1"/>
      <w:marLeft w:val="0"/>
      <w:marRight w:val="0"/>
      <w:marTop w:val="0"/>
      <w:marBottom w:val="0"/>
      <w:divBdr>
        <w:top w:val="none" w:sz="0" w:space="0" w:color="auto"/>
        <w:left w:val="none" w:sz="0" w:space="0" w:color="auto"/>
        <w:bottom w:val="none" w:sz="0" w:space="0" w:color="auto"/>
        <w:right w:val="none" w:sz="0" w:space="0" w:color="auto"/>
      </w:divBdr>
      <w:divsChild>
        <w:div w:id="398477951">
          <w:marLeft w:val="0"/>
          <w:marRight w:val="0"/>
          <w:marTop w:val="0"/>
          <w:marBottom w:val="0"/>
          <w:divBdr>
            <w:top w:val="none" w:sz="0" w:space="0" w:color="auto"/>
            <w:left w:val="none" w:sz="0" w:space="0" w:color="auto"/>
            <w:bottom w:val="none" w:sz="0" w:space="0" w:color="auto"/>
            <w:right w:val="none" w:sz="0" w:space="0" w:color="auto"/>
          </w:divBdr>
          <w:divsChild>
            <w:div w:id="23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4658">
      <w:bodyDiv w:val="1"/>
      <w:marLeft w:val="0"/>
      <w:marRight w:val="0"/>
      <w:marTop w:val="0"/>
      <w:marBottom w:val="0"/>
      <w:divBdr>
        <w:top w:val="none" w:sz="0" w:space="0" w:color="auto"/>
        <w:left w:val="none" w:sz="0" w:space="0" w:color="auto"/>
        <w:bottom w:val="none" w:sz="0" w:space="0" w:color="auto"/>
        <w:right w:val="none" w:sz="0" w:space="0" w:color="auto"/>
      </w:divBdr>
      <w:divsChild>
        <w:div w:id="1391617892">
          <w:marLeft w:val="0"/>
          <w:marRight w:val="0"/>
          <w:marTop w:val="0"/>
          <w:marBottom w:val="0"/>
          <w:divBdr>
            <w:top w:val="none" w:sz="0" w:space="0" w:color="auto"/>
            <w:left w:val="none" w:sz="0" w:space="0" w:color="auto"/>
            <w:bottom w:val="none" w:sz="0" w:space="0" w:color="auto"/>
            <w:right w:val="none" w:sz="0" w:space="0" w:color="auto"/>
          </w:divBdr>
          <w:divsChild>
            <w:div w:id="15299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25995710&amp;originatingDoc=Ie8aacc0d71f111e1b71fa7764cbfcb47&amp;refType=RP&amp;originationContext=document&amp;transitionType=DocumentItem&amp;contextData=(sc.UserEnteredC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FDEF-3AB8-4F05-B949-41630B56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5383</Words>
  <Characters>30582</Characters>
  <Application>Microsoft Office Word</Application>
  <DocSecurity>0</DocSecurity>
  <Lines>456</Lines>
  <Paragraphs>66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Anthony</dc:creator>
  <cp:lastModifiedBy>Mizue Aizeki</cp:lastModifiedBy>
  <cp:revision>3</cp:revision>
  <dcterms:created xsi:type="dcterms:W3CDTF">2017-05-01T20:22:00Z</dcterms:created>
  <dcterms:modified xsi:type="dcterms:W3CDTF">2017-05-01T20:29:00Z</dcterms:modified>
</cp:coreProperties>
</file>