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2D16" w14:textId="77777777" w:rsidR="00EB3F85" w:rsidRPr="0079374E" w:rsidRDefault="00EB3F85"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41378E35" w14:textId="0B575C4D" w:rsidR="0076129B" w:rsidRDefault="0076129B"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bdr w:val="none" w:sz="0" w:space="0" w:color="auto" w:frame="1"/>
        </w:rPr>
      </w:pPr>
      <w:r>
        <w:rPr>
          <w:color w:val="000000"/>
          <w:bdr w:val="none" w:sz="0" w:space="0" w:color="auto" w:frame="1"/>
        </w:rPr>
        <w:fldChar w:fldCharType="begin"/>
      </w:r>
      <w:r>
        <w:rPr>
          <w:color w:val="000000"/>
          <w:bdr w:val="none" w:sz="0" w:space="0" w:color="auto" w:frame="1"/>
        </w:rPr>
        <w:instrText xml:space="preserve"> INCLUDEPICTURE "https://lh4.googleusercontent.com/vqKCjVNkRD3xfjQYjxlm6HlM2zhAYm2Pi27wlp6wCF1XP4XOexmpkJ2VTYR4dt3L_V92hVJbxFSyjbf7B42xJMK8vm6C7W8qsnTq_khLXUnZ53bSTAF2IMllVRXzD5JoumQUPe8mI3o_oF7ly4peHt0"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317CAFAB" wp14:editId="176C07B8">
            <wp:extent cx="1511300" cy="647700"/>
            <wp:effectExtent l="0" t="0" r="0" b="0"/>
            <wp:docPr id="1349359219" name="Picture 1" descr="Image result for immigrant defense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migrant defense proj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0" cy="647700"/>
                    </a:xfrm>
                    <a:prstGeom prst="rect">
                      <a:avLst/>
                    </a:prstGeom>
                    <a:noFill/>
                    <a:ln>
                      <a:noFill/>
                    </a:ln>
                  </pic:spPr>
                </pic:pic>
              </a:graphicData>
            </a:graphic>
          </wp:inline>
        </w:drawing>
      </w:r>
      <w:r>
        <w:rPr>
          <w:color w:val="000000"/>
          <w:bdr w:val="none" w:sz="0" w:space="0" w:color="auto" w:frame="1"/>
        </w:rPr>
        <w:fldChar w:fldCharType="end"/>
      </w:r>
    </w:p>
    <w:p w14:paraId="7B883326" w14:textId="77777777" w:rsidR="0076129B" w:rsidRDefault="0076129B"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bdr w:val="none" w:sz="0" w:space="0" w:color="auto" w:frame="1"/>
        </w:rPr>
      </w:pPr>
    </w:p>
    <w:p w14:paraId="435DC2FC" w14:textId="77777777" w:rsidR="00694D11" w:rsidRDefault="00694D11" w:rsidP="00694D11">
      <w:pPr>
        <w:pStyle w:val="NormalWeb"/>
        <w:spacing w:before="0" w:beforeAutospacing="0" w:after="0" w:afterAutospacing="0"/>
        <w:jc w:val="center"/>
      </w:pPr>
      <w:r>
        <w:rPr>
          <w:rFonts w:ascii="Oswald" w:hAnsi="Oswald"/>
          <w:color w:val="666666"/>
          <w:sz w:val="30"/>
          <w:szCs w:val="30"/>
        </w:rPr>
        <w:t>September 10, 2023</w:t>
      </w:r>
    </w:p>
    <w:p w14:paraId="7F0E1702" w14:textId="77777777" w:rsidR="00694D11" w:rsidRDefault="00694D11" w:rsidP="00694D11"/>
    <w:p w14:paraId="39A5EF3A" w14:textId="77777777" w:rsidR="00694D11" w:rsidRDefault="00694D11" w:rsidP="00694D11">
      <w:pPr>
        <w:pStyle w:val="NormalWeb"/>
        <w:spacing w:before="0" w:beforeAutospacing="0" w:after="0" w:afterAutospacing="0"/>
        <w:jc w:val="center"/>
      </w:pPr>
      <w:r>
        <w:rPr>
          <w:rFonts w:ascii="Oswald" w:hAnsi="Oswald"/>
          <w:b/>
          <w:bCs/>
          <w:color w:val="000000"/>
          <w:sz w:val="30"/>
          <w:szCs w:val="30"/>
        </w:rPr>
        <w:t xml:space="preserve">SAMPLE </w:t>
      </w:r>
      <w:r>
        <w:rPr>
          <w:rFonts w:ascii="Oswald" w:hAnsi="Oswald"/>
          <w:b/>
          <w:bCs/>
          <w:smallCaps/>
          <w:color w:val="000000"/>
          <w:sz w:val="30"/>
          <w:szCs w:val="30"/>
        </w:rPr>
        <w:t xml:space="preserve">STATUTORY AND </w:t>
      </w:r>
      <w:r>
        <w:rPr>
          <w:rFonts w:ascii="Oswald" w:hAnsi="Oswald"/>
          <w:b/>
          <w:bCs/>
          <w:i/>
          <w:iCs/>
          <w:smallCaps/>
          <w:color w:val="000000"/>
          <w:sz w:val="30"/>
          <w:szCs w:val="30"/>
        </w:rPr>
        <w:t>SUA SPONTE</w:t>
      </w:r>
      <w:r>
        <w:rPr>
          <w:rFonts w:ascii="Oswald" w:hAnsi="Oswald"/>
          <w:b/>
          <w:bCs/>
          <w:smallCaps/>
          <w:color w:val="000000"/>
          <w:sz w:val="30"/>
          <w:szCs w:val="30"/>
        </w:rPr>
        <w:t xml:space="preserve"> MOTION TO RECONSIDER AND/OR REOPEN REMOVAL PROCEEDINGS FOR PURPOSES OF TERMINATION OR REMAND FOR A RELIEF HEARING, IN LIGHT OF </w:t>
      </w:r>
      <w:r>
        <w:rPr>
          <w:rFonts w:ascii="Oswald" w:hAnsi="Oswald"/>
          <w:b/>
          <w:bCs/>
          <w:i/>
          <w:iCs/>
          <w:smallCaps/>
          <w:color w:val="000000"/>
          <w:sz w:val="30"/>
          <w:szCs w:val="30"/>
        </w:rPr>
        <w:t>UNITED STATES V. MINTER</w:t>
      </w:r>
    </w:p>
    <w:p w14:paraId="2C79A1E7" w14:textId="2DD75764" w:rsidR="00EB3F85" w:rsidRPr="0079374E" w:rsidRDefault="00694D11" w:rsidP="00694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r>
        <w:rPr>
          <w:rFonts w:ascii="Oswald" w:hAnsi="Oswald"/>
          <w:b/>
          <w:bCs/>
          <w:smallCaps/>
          <w:color w:val="000000"/>
          <w:sz w:val="30"/>
          <w:szCs w:val="30"/>
        </w:rPr>
        <w:t>(FOR FILING WITH THE BOARD OF IMMIGRATION APPEALS</w:t>
      </w:r>
      <w:proofErr w:type="gramStart"/>
      <w:r>
        <w:rPr>
          <w:rFonts w:ascii="Oswald" w:hAnsi="Oswald"/>
          <w:b/>
          <w:bCs/>
          <w:smallCaps/>
          <w:color w:val="000000"/>
          <w:sz w:val="30"/>
          <w:szCs w:val="30"/>
        </w:rPr>
        <w:t>—“</w:t>
      </w:r>
      <w:proofErr w:type="gramEnd"/>
      <w:r>
        <w:rPr>
          <w:rFonts w:ascii="Oswald" w:hAnsi="Oswald"/>
          <w:b/>
          <w:bCs/>
          <w:smallCaps/>
          <w:color w:val="000000"/>
          <w:sz w:val="30"/>
          <w:szCs w:val="30"/>
        </w:rPr>
        <w:t>BIA”)</w:t>
      </w:r>
    </w:p>
    <w:p w14:paraId="5144E519" w14:textId="77777777" w:rsidR="00EB3F85" w:rsidRPr="0079374E" w:rsidRDefault="00EB3F85"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aps/>
          <w:color w:val="FF0000"/>
        </w:rPr>
      </w:pPr>
    </w:p>
    <w:p w14:paraId="44A66097" w14:textId="624D99CE" w:rsidR="00590065" w:rsidRPr="00694D11" w:rsidRDefault="00EB3F85" w:rsidP="00EB3F85">
      <w:pPr>
        <w:rPr>
          <w:rFonts w:ascii="EB Garamond" w:hAnsi="EB Garamond"/>
        </w:rPr>
      </w:pPr>
      <w:r w:rsidRPr="00694D11">
        <w:rPr>
          <w:rFonts w:ascii="EB Garamond" w:hAnsi="EB Garamond"/>
        </w:rPr>
        <w:t xml:space="preserve">This motion is </w:t>
      </w:r>
      <w:r w:rsidRPr="00694D11">
        <w:rPr>
          <w:rFonts w:ascii="EB Garamond" w:hAnsi="EB Garamond"/>
          <w:u w:val="single"/>
        </w:rPr>
        <w:t>not</w:t>
      </w:r>
      <w:r w:rsidRPr="00694D11">
        <w:rPr>
          <w:rFonts w:ascii="EB Garamond" w:hAnsi="EB Garamond"/>
        </w:rPr>
        <w:t xml:space="preserve"> a substitute for independent legal advice supplied by a lawyer familiar with a</w:t>
      </w:r>
      <w:r w:rsidR="00590065" w:rsidRPr="00694D11">
        <w:rPr>
          <w:rFonts w:ascii="EB Garamond" w:hAnsi="EB Garamond"/>
        </w:rPr>
        <w:t>n individual’s</w:t>
      </w:r>
      <w:r w:rsidRPr="00694D11">
        <w:rPr>
          <w:rFonts w:ascii="EB Garamond" w:hAnsi="EB Garamond"/>
        </w:rPr>
        <w:t xml:space="preserve"> case. It is not intended as, nor does it constitute, legal advice. DO NOT TREAT THIS SAMPLE MOTION AS LEGAL ADVICE.</w:t>
      </w:r>
    </w:p>
    <w:p w14:paraId="13CE1130" w14:textId="77777777" w:rsidR="00590065" w:rsidRPr="00694D11" w:rsidRDefault="00590065" w:rsidP="00EB3F85">
      <w:pPr>
        <w:rPr>
          <w:rFonts w:ascii="EB Garamond" w:hAnsi="EB Garamond"/>
        </w:rPr>
      </w:pPr>
    </w:p>
    <w:p w14:paraId="5B15C32D" w14:textId="3B20AF2B" w:rsidR="00EB3F85" w:rsidRPr="0079374E" w:rsidRDefault="00590065" w:rsidP="00EB3F85">
      <w:r w:rsidRPr="00694D11">
        <w:rPr>
          <w:rFonts w:ascii="EB Garamond" w:hAnsi="EB Garamond"/>
        </w:rPr>
        <w:t xml:space="preserve">For further instructions and information about how this sample motion might be used and adapted individual cases, please see the accompanying “FAQ and How to Use”, </w:t>
      </w:r>
      <w:r w:rsidRPr="00694D11">
        <w:rPr>
          <w:rFonts w:ascii="EB Garamond" w:hAnsi="EB Garamond"/>
          <w:i/>
          <w:iCs/>
        </w:rPr>
        <w:t>available at</w:t>
      </w:r>
      <w:r w:rsidRPr="00694D11">
        <w:rPr>
          <w:rFonts w:ascii="EB Garamond" w:hAnsi="EB Garamond"/>
        </w:rPr>
        <w:t xml:space="preserve"> ________.</w:t>
      </w:r>
      <w:r w:rsidR="00EB3F85" w:rsidRPr="0079374E">
        <w:t xml:space="preserve">  </w:t>
      </w:r>
    </w:p>
    <w:p w14:paraId="6CED800B" w14:textId="77777777" w:rsidR="00EB3F85" w:rsidRPr="0079374E" w:rsidRDefault="00EB3F85"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p w14:paraId="70A0048D" w14:textId="4066C8EF" w:rsidR="00EB3F85" w:rsidRPr="0079374E" w:rsidRDefault="001B4DCF"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548DD4" w:themeColor="text2" w:themeTint="99"/>
        </w:rPr>
      </w:pPr>
      <w:r w:rsidRPr="0079374E">
        <w:rPr>
          <w:color w:val="548DD4" w:themeColor="text2" w:themeTint="99"/>
        </w:rPr>
        <w:t xml:space="preserve"> </w:t>
      </w:r>
    </w:p>
    <w:p w14:paraId="18302D7E" w14:textId="77777777" w:rsidR="00D6244C" w:rsidRPr="0079374E" w:rsidRDefault="00EB3F85"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548DD4" w:themeColor="text2" w:themeTint="99"/>
        </w:rPr>
        <w:sectPr w:rsidR="00D6244C" w:rsidRPr="0079374E" w:rsidSect="00D6244C">
          <w:footerReference w:type="even" r:id="rId12"/>
          <w:footerReference w:type="default" r:id="rId13"/>
          <w:type w:val="continuous"/>
          <w:pgSz w:w="12240" w:h="15840"/>
          <w:pgMar w:top="1440" w:right="1440" w:bottom="1440" w:left="1440" w:header="720" w:footer="720" w:gutter="0"/>
          <w:pgNumType w:start="1"/>
          <w:cols w:space="720"/>
          <w:docGrid w:linePitch="360"/>
        </w:sectPr>
      </w:pPr>
      <w:r w:rsidRPr="0079374E">
        <w:rPr>
          <w:color w:val="548DD4" w:themeColor="text2" w:themeTint="99"/>
        </w:rPr>
        <w:t xml:space="preserve"> </w:t>
      </w:r>
    </w:p>
    <w:p w14:paraId="45DB8611" w14:textId="243FDA79" w:rsidR="00EB3F85" w:rsidRPr="0079374E" w:rsidRDefault="00EB3F85" w:rsidP="00EB3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548DD4" w:themeColor="text2" w:themeTint="99"/>
        </w:rPr>
      </w:pPr>
    </w:p>
    <w:p w14:paraId="11B302EF" w14:textId="77777777" w:rsidR="00EB3F85" w:rsidRPr="0079374E" w:rsidRDefault="00EB3F85" w:rsidP="00EB3F85">
      <w:pPr>
        <w:spacing w:after="200" w:line="276" w:lineRule="auto"/>
        <w:rPr>
          <w:color w:val="0070C0"/>
        </w:rPr>
      </w:pPr>
      <w:r w:rsidRPr="0079374E">
        <w:rPr>
          <w:color w:val="0070C0"/>
        </w:rPr>
        <w:br w:type="page"/>
      </w:r>
    </w:p>
    <w:p w14:paraId="497931FA" w14:textId="1805862F" w:rsidR="00184629" w:rsidRPr="0079374E" w:rsidRDefault="00184629" w:rsidP="00613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9374E">
        <w:lastRenderedPageBreak/>
        <w:t>UNITED STATES DEPARTMENT OF JUSTICE</w:t>
      </w:r>
    </w:p>
    <w:p w14:paraId="497F2A79" w14:textId="77777777" w:rsidR="00184629" w:rsidRPr="0079374E"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9374E">
        <w:t>EXECUTIVE OFFICE FOR IMMIGRATION REVIEW</w:t>
      </w:r>
    </w:p>
    <w:p w14:paraId="2E8D37F4" w14:textId="77777777" w:rsidR="00184629" w:rsidRPr="0079374E"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9374E">
        <w:t>BOARD OF IMMIGRATION APPEALS</w:t>
      </w:r>
    </w:p>
    <w:p w14:paraId="7AA856DE" w14:textId="77777777" w:rsidR="00184629" w:rsidRPr="0079374E"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9374E">
        <w:t>FALLS CHURCH, VIRGINIA</w:t>
      </w:r>
    </w:p>
    <w:p w14:paraId="27196A93" w14:textId="77777777" w:rsidR="00184629" w:rsidRPr="0079374E"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1A60D9" w14:textId="77777777" w:rsidR="00184629" w:rsidRPr="0079374E"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0021756" w14:textId="77777777" w:rsidR="00184629" w:rsidRPr="0079374E"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374E">
        <w:t>In the Matter of:</w:t>
      </w:r>
      <w:r w:rsidRPr="0079374E">
        <w:tab/>
      </w:r>
      <w:r w:rsidRPr="0079374E">
        <w:tab/>
      </w:r>
      <w:r w:rsidRPr="0079374E">
        <w:tab/>
      </w:r>
      <w:r w:rsidRPr="0079374E">
        <w:tab/>
      </w:r>
      <w:r w:rsidRPr="0079374E">
        <w:tab/>
        <w:t>)</w:t>
      </w:r>
    </w:p>
    <w:p w14:paraId="5B46020D" w14:textId="77777777" w:rsidR="00184629" w:rsidRPr="0079374E" w:rsidRDefault="00184629" w:rsidP="00184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79374E">
        <w:tab/>
      </w:r>
      <w:r w:rsidRPr="0079374E">
        <w:tab/>
      </w:r>
      <w:r w:rsidRPr="0079374E">
        <w:tab/>
      </w:r>
      <w:r w:rsidRPr="0079374E">
        <w:tab/>
      </w:r>
      <w:r w:rsidRPr="0079374E">
        <w:tab/>
      </w:r>
      <w:r w:rsidRPr="0079374E">
        <w:tab/>
      </w:r>
      <w:r w:rsidRPr="0079374E">
        <w:tab/>
        <w:t>)</w:t>
      </w:r>
    </w:p>
    <w:p w14:paraId="27C99553" w14:textId="495C1AFD" w:rsidR="00184629" w:rsidRPr="0079374E" w:rsidRDefault="004F5EDB" w:rsidP="0018462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hanging="720"/>
        <w:rPr>
          <w:b/>
        </w:rPr>
      </w:pPr>
      <w:r w:rsidRPr="0079374E">
        <w:rPr>
          <w:b/>
        </w:rPr>
        <w:tab/>
      </w:r>
      <w:r w:rsidRPr="0079374E">
        <w:rPr>
          <w:b/>
        </w:rPr>
        <w:tab/>
      </w:r>
      <w:r w:rsidRPr="0079374E">
        <w:rPr>
          <w:b/>
        </w:rPr>
        <w:tab/>
      </w:r>
      <w:r w:rsidRPr="0079374E">
        <w:rPr>
          <w:b/>
        </w:rPr>
        <w:tab/>
      </w:r>
      <w:r w:rsidRPr="0079374E">
        <w:rPr>
          <w:b/>
        </w:rPr>
        <w:tab/>
      </w:r>
      <w:r w:rsidR="00184629" w:rsidRPr="0079374E">
        <w:tab/>
      </w:r>
      <w:r w:rsidR="00184629" w:rsidRPr="0079374E">
        <w:tab/>
        <w:t xml:space="preserve">)        </w:t>
      </w:r>
    </w:p>
    <w:p w14:paraId="7B725A81" w14:textId="6D8428A2" w:rsidR="00184629" w:rsidRPr="0079374E" w:rsidRDefault="001B4DCF" w:rsidP="0018462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hanging="720"/>
      </w:pPr>
      <w:r w:rsidRPr="0079374E">
        <w:rPr>
          <w:b/>
        </w:rPr>
        <w:tab/>
        <w:t>[NAME]</w:t>
      </w:r>
      <w:r w:rsidRPr="0079374E">
        <w:rPr>
          <w:b/>
        </w:rPr>
        <w:tab/>
      </w:r>
      <w:r w:rsidR="00184629" w:rsidRPr="0079374E">
        <w:rPr>
          <w:b/>
        </w:rPr>
        <w:tab/>
      </w:r>
      <w:r w:rsidR="00184629" w:rsidRPr="0079374E">
        <w:rPr>
          <w:b/>
        </w:rPr>
        <w:tab/>
      </w:r>
      <w:r w:rsidR="00184629" w:rsidRPr="0079374E">
        <w:tab/>
      </w:r>
      <w:proofErr w:type="gramStart"/>
      <w:r w:rsidR="00184629" w:rsidRPr="0079374E">
        <w:tab/>
        <w:t>)</w:t>
      </w:r>
      <w:r w:rsidR="003A1656" w:rsidRPr="0079374E">
        <w:t xml:space="preserve">   </w:t>
      </w:r>
      <w:proofErr w:type="gramEnd"/>
      <w:r w:rsidR="003A1656" w:rsidRPr="0079374E">
        <w:t xml:space="preserve">   </w:t>
      </w:r>
      <w:r w:rsidRPr="0079374E">
        <w:rPr>
          <w:b/>
          <w:bCs/>
        </w:rPr>
        <w:t>A-Number [XXX-XXX-XXX]</w:t>
      </w:r>
      <w:r w:rsidR="00184629" w:rsidRPr="0079374E">
        <w:tab/>
      </w:r>
    </w:p>
    <w:p w14:paraId="6D070065" w14:textId="0217CF0F" w:rsidR="00184629" w:rsidRPr="0079374E" w:rsidRDefault="001B4DCF"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79374E">
        <w:tab/>
      </w:r>
      <w:r w:rsidR="00184629" w:rsidRPr="0079374E">
        <w:tab/>
      </w:r>
      <w:r w:rsidR="00184629" w:rsidRPr="0079374E">
        <w:tab/>
      </w:r>
      <w:r w:rsidR="00184629" w:rsidRPr="0079374E">
        <w:tab/>
      </w:r>
      <w:r w:rsidR="00184629" w:rsidRPr="0079374E">
        <w:tab/>
      </w:r>
      <w:r w:rsidR="00184629" w:rsidRPr="0079374E">
        <w:tab/>
        <w:t>)</w:t>
      </w:r>
      <w:r w:rsidR="00184629" w:rsidRPr="0079374E">
        <w:tab/>
      </w:r>
    </w:p>
    <w:p w14:paraId="40A71482" w14:textId="77777777" w:rsidR="00184629" w:rsidRPr="0079374E"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79374E">
        <w:tab/>
      </w:r>
      <w:r w:rsidRPr="0079374E">
        <w:tab/>
      </w:r>
      <w:r w:rsidRPr="0079374E">
        <w:tab/>
      </w:r>
      <w:r w:rsidRPr="0079374E">
        <w:tab/>
      </w:r>
      <w:r w:rsidRPr="0079374E">
        <w:tab/>
      </w:r>
      <w:r w:rsidRPr="0079374E">
        <w:tab/>
        <w:t>)</w:t>
      </w:r>
    </w:p>
    <w:p w14:paraId="64CA95C4" w14:textId="239E1241" w:rsidR="00184629" w:rsidRPr="0079374E"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374E">
        <w:t>In Removal</w:t>
      </w:r>
      <w:r w:rsidRPr="0079374E">
        <w:rPr>
          <w:b/>
        </w:rPr>
        <w:t xml:space="preserve"> </w:t>
      </w:r>
      <w:r w:rsidRPr="0079374E">
        <w:t>Proceedings.</w:t>
      </w:r>
      <w:r w:rsidRPr="0079374E">
        <w:tab/>
      </w:r>
      <w:r w:rsidRPr="0079374E">
        <w:tab/>
        <w:t xml:space="preserve">                      </w:t>
      </w:r>
      <w:proofErr w:type="gramStart"/>
      <w:r w:rsidRPr="0079374E">
        <w:t xml:space="preserve">  )</w:t>
      </w:r>
      <w:proofErr w:type="gramEnd"/>
      <w:r w:rsidRPr="0079374E">
        <w:tab/>
      </w:r>
      <w:r w:rsidRPr="0079374E">
        <w:tab/>
      </w:r>
      <w:r w:rsidRPr="0079374E">
        <w:tab/>
      </w:r>
      <w:r w:rsidRPr="0079374E">
        <w:tab/>
      </w:r>
      <w:r w:rsidRPr="0079374E">
        <w:tab/>
      </w:r>
      <w:r w:rsidRPr="0079374E">
        <w:tab/>
      </w:r>
    </w:p>
    <w:p w14:paraId="4AE0788A" w14:textId="4FD854BD" w:rsidR="00184629" w:rsidRPr="0079374E"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374E">
        <w:rPr>
          <w:u w:val="single"/>
        </w:rPr>
        <w:t xml:space="preserve">                       </w:t>
      </w:r>
    </w:p>
    <w:p w14:paraId="207D1509" w14:textId="77777777" w:rsidR="00184629" w:rsidRPr="0079374E"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99CB802" w14:textId="77777777" w:rsidR="00184629" w:rsidRPr="0079374E"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5E4EA5EF" w14:textId="3C369B9D" w:rsidR="00184629" w:rsidRPr="0079374E" w:rsidRDefault="00184629" w:rsidP="000C77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rPr>
      </w:pPr>
      <w:r w:rsidRPr="0079374E">
        <w:rPr>
          <w:b/>
        </w:rPr>
        <w:t>STATUTORY</w:t>
      </w:r>
      <w:r w:rsidR="003A1656" w:rsidRPr="0079374E">
        <w:rPr>
          <w:b/>
        </w:rPr>
        <w:t xml:space="preserve"> AND </w:t>
      </w:r>
      <w:r w:rsidR="003A1656" w:rsidRPr="0079374E">
        <w:rPr>
          <w:b/>
          <w:i/>
          <w:iCs/>
        </w:rPr>
        <w:t>SUA SPONTE</w:t>
      </w:r>
      <w:r w:rsidRPr="0079374E">
        <w:rPr>
          <w:b/>
        </w:rPr>
        <w:t xml:space="preserve"> MOTION TO RECONSIDER AND</w:t>
      </w:r>
      <w:r w:rsidR="006D4699" w:rsidRPr="0079374E">
        <w:rPr>
          <w:b/>
        </w:rPr>
        <w:t xml:space="preserve">/OR REOPEN </w:t>
      </w:r>
      <w:r w:rsidR="00F303EA" w:rsidRPr="0079374E">
        <w:rPr>
          <w:b/>
        </w:rPr>
        <w:t>R</w:t>
      </w:r>
      <w:r w:rsidR="000C77FB" w:rsidRPr="0079374E">
        <w:rPr>
          <w:b/>
        </w:rPr>
        <w:t>EMOVAL PROCEEDINGS</w:t>
      </w:r>
      <w:r w:rsidR="003A1656" w:rsidRPr="0079374E">
        <w:rPr>
          <w:b/>
        </w:rPr>
        <w:t xml:space="preserve"> FOR PURPOSES OF</w:t>
      </w:r>
      <w:r w:rsidR="006D4699" w:rsidRPr="0079374E">
        <w:rPr>
          <w:b/>
        </w:rPr>
        <w:t xml:space="preserve"> [TERMINATION AND/OR PURSUING RELIEF],</w:t>
      </w:r>
      <w:r w:rsidR="003A1656" w:rsidRPr="0079374E">
        <w:rPr>
          <w:b/>
        </w:rPr>
        <w:t xml:space="preserve"> IN LIGHT OF </w:t>
      </w:r>
      <w:r w:rsidR="003A1656" w:rsidRPr="0079374E">
        <w:rPr>
          <w:b/>
          <w:i/>
        </w:rPr>
        <w:t>UNITED STATES V. MINTER</w:t>
      </w:r>
    </w:p>
    <w:p w14:paraId="0A40A3FC" w14:textId="77777777" w:rsidR="00184629" w:rsidRPr="0079374E"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6CDFAC12" w14:textId="168C09E7" w:rsidR="00184629" w:rsidRPr="0079374E" w:rsidRDefault="00184629" w:rsidP="00184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u w:val="single"/>
        </w:rPr>
      </w:pPr>
      <w:r w:rsidRPr="0079374E">
        <w:rPr>
          <w:b/>
          <w:u w:val="single"/>
        </w:rPr>
        <w:t>INTRODUCTION</w:t>
      </w:r>
    </w:p>
    <w:p w14:paraId="5BD93136" w14:textId="77777777" w:rsidR="00184629" w:rsidRPr="0079374E"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28948E23" w14:textId="034F1840" w:rsidR="00CB5367" w:rsidRPr="0079374E" w:rsidRDefault="00CB5367" w:rsidP="00CB5367">
      <w:pPr>
        <w:spacing w:line="480" w:lineRule="auto"/>
        <w:ind w:firstLine="720"/>
      </w:pPr>
      <w:r w:rsidRPr="0079374E">
        <w:t xml:space="preserve">Respondent, </w:t>
      </w:r>
      <w:r w:rsidRPr="0079374E">
        <w:rPr>
          <w:b/>
          <w:bCs/>
        </w:rPr>
        <w:t>[</w:t>
      </w:r>
      <w:r w:rsidR="00C806DB" w:rsidRPr="0079374E">
        <w:rPr>
          <w:b/>
          <w:bCs/>
        </w:rPr>
        <w:t>Name</w:t>
      </w:r>
      <w:r w:rsidRPr="0079374E">
        <w:rPr>
          <w:b/>
          <w:bCs/>
        </w:rPr>
        <w:t>]</w:t>
      </w:r>
      <w:r w:rsidRPr="0079374E">
        <w:t xml:space="preserve">, hereby submits this statutory and </w:t>
      </w:r>
      <w:proofErr w:type="spellStart"/>
      <w:r w:rsidRPr="0079374E">
        <w:rPr>
          <w:i/>
          <w:iCs/>
        </w:rPr>
        <w:t>sua</w:t>
      </w:r>
      <w:proofErr w:type="spellEnd"/>
      <w:r w:rsidRPr="0079374E">
        <w:rPr>
          <w:i/>
          <w:iCs/>
        </w:rPr>
        <w:t xml:space="preserve"> sponte</w:t>
      </w:r>
      <w:r w:rsidRPr="0079374E">
        <w:t xml:space="preserve"> motion to reconsider</w:t>
      </w:r>
      <w:r w:rsidR="0056453C" w:rsidRPr="0079374E">
        <w:t xml:space="preserve"> and/or reopen removal proceedings for purposes of </w:t>
      </w:r>
      <w:r w:rsidR="00AF16E4" w:rsidRPr="0079374E">
        <w:rPr>
          <w:b/>
          <w:bCs/>
        </w:rPr>
        <w:t>[</w:t>
      </w:r>
      <w:r w:rsidRPr="0079374E">
        <w:rPr>
          <w:b/>
          <w:bCs/>
        </w:rPr>
        <w:t>terminat</w:t>
      </w:r>
      <w:r w:rsidR="00AF16E4" w:rsidRPr="0079374E">
        <w:rPr>
          <w:b/>
          <w:bCs/>
        </w:rPr>
        <w:t>ion of</w:t>
      </w:r>
      <w:r w:rsidRPr="0079374E">
        <w:rPr>
          <w:b/>
          <w:bCs/>
        </w:rPr>
        <w:t xml:space="preserve"> removal proceedings</w:t>
      </w:r>
      <w:r w:rsidR="00AF16E4" w:rsidRPr="0079374E">
        <w:rPr>
          <w:b/>
          <w:bCs/>
        </w:rPr>
        <w:t xml:space="preserve"> </w:t>
      </w:r>
      <w:r w:rsidRPr="0079374E">
        <w:rPr>
          <w:b/>
          <w:bCs/>
        </w:rPr>
        <w:t xml:space="preserve">and/or </w:t>
      </w:r>
      <w:r w:rsidR="00694D11">
        <w:rPr>
          <w:b/>
          <w:bCs/>
        </w:rPr>
        <w:t>pursuing</w:t>
      </w:r>
      <w:r w:rsidR="00AF16E4" w:rsidRPr="0079374E">
        <w:rPr>
          <w:b/>
          <w:bCs/>
        </w:rPr>
        <w:t xml:space="preserve"> relief</w:t>
      </w:r>
      <w:r w:rsidRPr="0079374E">
        <w:rPr>
          <w:b/>
          <w:bCs/>
        </w:rPr>
        <w:t>]</w:t>
      </w:r>
      <w:r w:rsidRPr="0079374E">
        <w:t xml:space="preserve">. </w:t>
      </w:r>
      <w:r w:rsidRPr="0079374E">
        <w:rPr>
          <w:i/>
          <w:iCs/>
        </w:rPr>
        <w:t>See</w:t>
      </w:r>
      <w:r w:rsidRPr="0079374E">
        <w:t xml:space="preserve"> </w:t>
      </w:r>
      <w:r w:rsidR="00184629" w:rsidRPr="0079374E">
        <w:t>Immigration and Nationality Act (“INA”)</w:t>
      </w:r>
      <w:r w:rsidRPr="0079374E">
        <w:t xml:space="preserve"> § 240(c)(6)-(7) (providing the statutory authority for a motion to reconsider or reopen); 8 C.F.R. 1003.2 (providing the </w:t>
      </w:r>
      <w:proofErr w:type="spellStart"/>
      <w:r w:rsidRPr="0079374E">
        <w:rPr>
          <w:i/>
          <w:iCs/>
        </w:rPr>
        <w:t>sua</w:t>
      </w:r>
      <w:proofErr w:type="spellEnd"/>
      <w:r w:rsidRPr="0079374E">
        <w:rPr>
          <w:i/>
          <w:iCs/>
        </w:rPr>
        <w:t xml:space="preserve"> sponte authority</w:t>
      </w:r>
      <w:r w:rsidRPr="0079374E">
        <w:t xml:space="preserve"> for a motion to reconsider or reopen).</w:t>
      </w:r>
    </w:p>
    <w:p w14:paraId="6B67E681" w14:textId="440A75A9" w:rsidR="00CB5367" w:rsidRPr="0079374E" w:rsidRDefault="00CB5367" w:rsidP="00CB5367">
      <w:pPr>
        <w:spacing w:line="480" w:lineRule="auto"/>
        <w:ind w:firstLine="720"/>
      </w:pPr>
      <w:r w:rsidRPr="0079374E">
        <w:t>Respondent</w:t>
      </w:r>
      <w:r w:rsidR="00184629" w:rsidRPr="0079374E">
        <w:t xml:space="preserve"> seeks </w:t>
      </w:r>
      <w:r w:rsidR="00AF16E4" w:rsidRPr="0079374E">
        <w:rPr>
          <w:b/>
          <w:bCs/>
        </w:rPr>
        <w:t>[</w:t>
      </w:r>
      <w:r w:rsidR="00184629" w:rsidRPr="0079374E">
        <w:rPr>
          <w:b/>
          <w:bCs/>
        </w:rPr>
        <w:t>reconsideration</w:t>
      </w:r>
      <w:r w:rsidR="00AF16E4" w:rsidRPr="0079374E">
        <w:rPr>
          <w:b/>
          <w:bCs/>
        </w:rPr>
        <w:t>]</w:t>
      </w:r>
      <w:r w:rsidR="00AF16E4" w:rsidRPr="0079374E">
        <w:t xml:space="preserve"> </w:t>
      </w:r>
      <w:r w:rsidR="00AF16E4" w:rsidRPr="0079374E">
        <w:rPr>
          <w:b/>
          <w:bCs/>
        </w:rPr>
        <w:t>[or] [reconsideration and reopening]</w:t>
      </w:r>
      <w:r w:rsidR="00184629" w:rsidRPr="0079374E">
        <w:t xml:space="preserve"> in light of the U.S. Court of Appeals for the Second Circuit’s </w:t>
      </w:r>
      <w:r w:rsidR="00821806" w:rsidRPr="0079374E">
        <w:t xml:space="preserve">precedent </w:t>
      </w:r>
      <w:r w:rsidR="00184629" w:rsidRPr="0079374E">
        <w:t xml:space="preserve">decision in </w:t>
      </w:r>
      <w:r w:rsidR="0089349E" w:rsidRPr="0079374E">
        <w:rPr>
          <w:i/>
          <w:iCs/>
        </w:rPr>
        <w:t xml:space="preserve">United States v. </w:t>
      </w:r>
      <w:r w:rsidRPr="0079374E">
        <w:rPr>
          <w:i/>
          <w:iCs/>
        </w:rPr>
        <w:t>Minter</w:t>
      </w:r>
      <w:r w:rsidR="0089349E" w:rsidRPr="0079374E">
        <w:t xml:space="preserve">, </w:t>
      </w:r>
      <w:r w:rsidR="16B518FD" w:rsidRPr="0079374E">
        <w:t xml:space="preserve">No. </w:t>
      </w:r>
      <w:r w:rsidRPr="0079374E">
        <w:t>21</w:t>
      </w:r>
      <w:r w:rsidR="16B518FD" w:rsidRPr="0079374E">
        <w:t>-</w:t>
      </w:r>
      <w:r w:rsidRPr="0079374E">
        <w:t>3102</w:t>
      </w:r>
      <w:r w:rsidR="16B518FD" w:rsidRPr="0079374E">
        <w:t xml:space="preserve">, 2023 WL </w:t>
      </w:r>
      <w:r w:rsidRPr="0079374E">
        <w:t xml:space="preserve">5730084 </w:t>
      </w:r>
      <w:r w:rsidR="0089349E" w:rsidRPr="0079374E">
        <w:t xml:space="preserve">(2d Cir. </w:t>
      </w:r>
      <w:r w:rsidRPr="0079374E">
        <w:t>Sept. 6</w:t>
      </w:r>
      <w:r w:rsidR="42AA6D24" w:rsidRPr="0079374E">
        <w:t>, 2023</w:t>
      </w:r>
      <w:r w:rsidR="0089349E" w:rsidRPr="0079374E">
        <w:t>)</w:t>
      </w:r>
      <w:r w:rsidRPr="0079374E">
        <w:t xml:space="preserve">. </w:t>
      </w:r>
      <w:r w:rsidR="00EF1903" w:rsidRPr="0079374E">
        <w:rPr>
          <w:b/>
          <w:bCs/>
        </w:rPr>
        <w:t>[IF CONVICTION</w:t>
      </w:r>
      <w:r w:rsidR="00C806DB" w:rsidRPr="0079374E">
        <w:rPr>
          <w:b/>
          <w:bCs/>
        </w:rPr>
        <w:t xml:space="preserve"> IS</w:t>
      </w:r>
      <w:r w:rsidR="00EF1903" w:rsidRPr="0079374E">
        <w:rPr>
          <w:b/>
          <w:bCs/>
        </w:rPr>
        <w:t xml:space="preserve"> UNDER</w:t>
      </w:r>
      <w:r w:rsidR="00C806DB" w:rsidRPr="0079374E">
        <w:rPr>
          <w:b/>
          <w:bCs/>
        </w:rPr>
        <w:t xml:space="preserve"> “COCAINE” PROVISION</w:t>
      </w:r>
      <w:r w:rsidR="00EF1903" w:rsidRPr="0079374E">
        <w:rPr>
          <w:b/>
          <w:bCs/>
        </w:rPr>
        <w:t xml:space="preserve"> NYPL</w:t>
      </w:r>
      <w:r w:rsidR="00C806DB" w:rsidRPr="0079374E">
        <w:rPr>
          <w:b/>
          <w:bCs/>
        </w:rPr>
        <w:t xml:space="preserve"> §</w:t>
      </w:r>
      <w:r w:rsidR="00EF1903" w:rsidRPr="0079374E">
        <w:rPr>
          <w:b/>
          <w:bCs/>
        </w:rPr>
        <w:t xml:space="preserve"> 220.06(5)</w:t>
      </w:r>
      <w:r w:rsidR="00C806DB" w:rsidRPr="0079374E">
        <w:rPr>
          <w:b/>
          <w:bCs/>
        </w:rPr>
        <w:t>,</w:t>
      </w:r>
      <w:r w:rsidR="00EF1903" w:rsidRPr="0079374E">
        <w:rPr>
          <w:b/>
          <w:bCs/>
        </w:rPr>
        <w:t xml:space="preserve"> OR IF</w:t>
      </w:r>
      <w:r w:rsidR="00C806DB" w:rsidRPr="0079374E">
        <w:rPr>
          <w:b/>
          <w:bCs/>
        </w:rPr>
        <w:t xml:space="preserve"> CONVICTION IS UNDER “NARCOTIC DRUG” PROVISION AND</w:t>
      </w:r>
      <w:r w:rsidR="00EF1903" w:rsidRPr="0079374E">
        <w:rPr>
          <w:b/>
          <w:bCs/>
        </w:rPr>
        <w:t xml:space="preserve"> RECORD OF CONVICTION INDICATES COCAINE: </w:t>
      </w:r>
      <w:r w:rsidR="00EF1903" w:rsidRPr="0079374E">
        <w:t xml:space="preserve">Under </w:t>
      </w:r>
      <w:r w:rsidR="00EF1903" w:rsidRPr="0079374E">
        <w:rPr>
          <w:i/>
          <w:iCs/>
        </w:rPr>
        <w:t>Minter</w:t>
      </w:r>
      <w:r w:rsidR="00EF1903" w:rsidRPr="0079374E">
        <w:t xml:space="preserve">, the statutory term “cocaine” under New York Penal Law is categorically overbroad and indivisible as compared to the removability provisions at INA §§ </w:t>
      </w:r>
      <w:r w:rsidR="00EF1903" w:rsidRPr="0079374E">
        <w:lastRenderedPageBreak/>
        <w:t>212(a)(2)(A)(</w:t>
      </w:r>
      <w:proofErr w:type="spellStart"/>
      <w:r w:rsidR="00EF1903" w:rsidRPr="0079374E">
        <w:t>i</w:t>
      </w:r>
      <w:proofErr w:type="spellEnd"/>
      <w:r w:rsidR="00EF1903" w:rsidRPr="0079374E">
        <w:t>)</w:t>
      </w:r>
      <w:r w:rsidR="00C806DB" w:rsidRPr="0079374E">
        <w:t>(II)</w:t>
      </w:r>
      <w:r w:rsidR="00EF1903" w:rsidRPr="0079374E">
        <w:t xml:space="preserve"> (providing for inadmissibility for a conviction relating to a federally controlled substance), 237(a)(2)(B)(</w:t>
      </w:r>
      <w:proofErr w:type="spellStart"/>
      <w:r w:rsidR="00EF1903" w:rsidRPr="0079374E">
        <w:t>i</w:t>
      </w:r>
      <w:proofErr w:type="spellEnd"/>
      <w:r w:rsidR="00EF1903" w:rsidRPr="0079374E">
        <w:t>) (proving for removability for a conviction relating to a federally controlled substance, 101(a)(43)(B)</w:t>
      </w:r>
      <w:r w:rsidR="00F91159" w:rsidRPr="0079374E">
        <w:t>, (U)</w:t>
      </w:r>
      <w:r w:rsidR="00EF1903" w:rsidRPr="0079374E">
        <w:t xml:space="preserve"> (providing for aggravated felony for trafficking federally controlled substance</w:t>
      </w:r>
      <w:r w:rsidR="00F91159" w:rsidRPr="0079374E">
        <w:t>, and for attempt</w:t>
      </w:r>
      <w:r w:rsidR="00EF1903" w:rsidRPr="0079374E">
        <w:t>).</w:t>
      </w:r>
      <w:r w:rsidR="0082174E" w:rsidRPr="0079374E">
        <w:t xml:space="preserve">] </w:t>
      </w:r>
      <w:r w:rsidR="0082174E" w:rsidRPr="0079374E">
        <w:rPr>
          <w:b/>
          <w:bCs/>
        </w:rPr>
        <w:t>[IF</w:t>
      </w:r>
      <w:r w:rsidR="00C806DB" w:rsidRPr="0079374E">
        <w:rPr>
          <w:b/>
          <w:bCs/>
        </w:rPr>
        <w:t xml:space="preserve"> CONVICTION IS UNDER</w:t>
      </w:r>
      <w:r w:rsidR="0082174E" w:rsidRPr="0079374E">
        <w:rPr>
          <w:b/>
          <w:bCs/>
        </w:rPr>
        <w:t xml:space="preserve"> “NARCOTIC DRUG</w:t>
      </w:r>
      <w:r w:rsidR="00C806DB" w:rsidRPr="0079374E">
        <w:rPr>
          <w:b/>
          <w:bCs/>
        </w:rPr>
        <w:t>” PROVISION</w:t>
      </w:r>
      <w:r w:rsidR="00792EDD" w:rsidRPr="0079374E">
        <w:rPr>
          <w:b/>
          <w:bCs/>
        </w:rPr>
        <w:t xml:space="preserve"> AND COCAINE IS NOT IDENTIFIED IN RECORD OF CONVICTION</w:t>
      </w:r>
      <w:r w:rsidR="0082174E" w:rsidRPr="0079374E">
        <w:rPr>
          <w:b/>
          <w:bCs/>
        </w:rPr>
        <w:t>:</w:t>
      </w:r>
      <w:r w:rsidR="0082174E" w:rsidRPr="0079374E">
        <w:t xml:space="preserve"> </w:t>
      </w:r>
      <w:r w:rsidRPr="0079374E">
        <w:t xml:space="preserve">Under </w:t>
      </w:r>
      <w:r w:rsidRPr="0079374E">
        <w:rPr>
          <w:i/>
          <w:iCs/>
        </w:rPr>
        <w:t>Minter</w:t>
      </w:r>
      <w:r w:rsidRPr="0079374E">
        <w:t>, the statutory term “narcotic drug” under New York Penal Law (“NYPL”) § 220.00(7) is categorically overbroad as compared to the removability provisions at INA §§ 212(a)(2)(A)(</w:t>
      </w:r>
      <w:proofErr w:type="spellStart"/>
      <w:r w:rsidRPr="0079374E">
        <w:t>i</w:t>
      </w:r>
      <w:proofErr w:type="spellEnd"/>
      <w:r w:rsidRPr="0079374E">
        <w:t>)</w:t>
      </w:r>
      <w:r w:rsidR="00792EDD" w:rsidRPr="0079374E">
        <w:t>(II)</w:t>
      </w:r>
      <w:r w:rsidRPr="0079374E">
        <w:t xml:space="preserve"> (providing for inadmissibility for a conviction relating to a federally controlled substance), 237(a)(2)(B)(</w:t>
      </w:r>
      <w:proofErr w:type="spellStart"/>
      <w:r w:rsidRPr="0079374E">
        <w:t>i</w:t>
      </w:r>
      <w:proofErr w:type="spellEnd"/>
      <w:r w:rsidRPr="0079374E">
        <w:t xml:space="preserve">) (proving for removability for a </w:t>
      </w:r>
      <w:r w:rsidR="005B16AE" w:rsidRPr="0079374E">
        <w:t>conviction</w:t>
      </w:r>
      <w:r w:rsidRPr="0079374E">
        <w:t xml:space="preserve"> relating to a federally controlled substance, 101(a)(43)(B)</w:t>
      </w:r>
      <w:r w:rsidR="00F91159" w:rsidRPr="0079374E">
        <w:t>, (U)</w:t>
      </w:r>
      <w:r w:rsidRPr="0079374E">
        <w:t xml:space="preserve"> (providing for aggravated felony for </w:t>
      </w:r>
      <w:r w:rsidR="005B16AE" w:rsidRPr="0079374E">
        <w:t>trafficking federally controlled substance</w:t>
      </w:r>
      <w:r w:rsidR="00F91159" w:rsidRPr="0079374E">
        <w:t>, and for attempt</w:t>
      </w:r>
      <w:r w:rsidR="005B16AE" w:rsidRPr="0079374E">
        <w:t>).</w:t>
      </w:r>
      <w:r w:rsidR="0082174E" w:rsidRPr="0079374E">
        <w:t xml:space="preserve"> And the “narcotic drug” term is indivisible under </w:t>
      </w:r>
      <w:r w:rsidR="00C806DB" w:rsidRPr="0079374E">
        <w:rPr>
          <w:i/>
          <w:iCs/>
        </w:rPr>
        <w:t>Harbin v. Sessions</w:t>
      </w:r>
      <w:r w:rsidR="00C806DB" w:rsidRPr="0079374E">
        <w:t>,</w:t>
      </w:r>
      <w:r w:rsidR="00C806DB" w:rsidRPr="0079374E">
        <w:rPr>
          <w:i/>
          <w:iCs/>
        </w:rPr>
        <w:t xml:space="preserve"> </w:t>
      </w:r>
      <w:r w:rsidR="00C806DB" w:rsidRPr="0079374E">
        <w:t>860 F.3d 58 (2d. Cir. 2017)</w:t>
      </w:r>
      <w:r w:rsidR="0082174E" w:rsidRPr="0079374E">
        <w:t>.</w:t>
      </w:r>
      <w:r w:rsidR="00050535" w:rsidRPr="0079374E">
        <w:rPr>
          <w:b/>
          <w:bCs/>
        </w:rPr>
        <w:t>]</w:t>
      </w:r>
    </w:p>
    <w:p w14:paraId="604BDB8A" w14:textId="6050AB03" w:rsidR="00C56DF3" w:rsidRPr="0079374E" w:rsidRDefault="005D36F9" w:rsidP="0003049C">
      <w:pPr>
        <w:spacing w:line="480" w:lineRule="auto"/>
        <w:ind w:firstLine="720"/>
      </w:pPr>
      <w:r w:rsidRPr="0079374E">
        <w:t xml:space="preserve">This Board issued a final order of removal against </w:t>
      </w:r>
      <w:r w:rsidR="005B16AE" w:rsidRPr="0079374E">
        <w:t xml:space="preserve">Respondent </w:t>
      </w:r>
      <w:r w:rsidRPr="0079374E">
        <w:t xml:space="preserve">after finding </w:t>
      </w:r>
      <w:r w:rsidR="005B16AE" w:rsidRPr="0079374E">
        <w:t xml:space="preserve">the </w:t>
      </w:r>
      <w:r w:rsidRPr="0079374E">
        <w:t xml:space="preserve">conviction under </w:t>
      </w:r>
      <w:r w:rsidR="005B16AE" w:rsidRPr="0079374E">
        <w:t>NYPL</w:t>
      </w:r>
      <w:r w:rsidR="001B5634" w:rsidRPr="0079374E">
        <w:t xml:space="preserve"> </w:t>
      </w:r>
      <w:r w:rsidRPr="0079374E">
        <w:t xml:space="preserve">§ </w:t>
      </w:r>
      <w:r w:rsidR="001B5634" w:rsidRPr="0079374E">
        <w:rPr>
          <w:b/>
          <w:bCs/>
        </w:rPr>
        <w:t>[</w:t>
      </w:r>
      <w:r w:rsidR="005B16AE" w:rsidRPr="0079374E">
        <w:rPr>
          <w:b/>
          <w:bCs/>
        </w:rPr>
        <w:t xml:space="preserve">insert specific </w:t>
      </w:r>
      <w:r w:rsidR="001B5634" w:rsidRPr="0079374E">
        <w:rPr>
          <w:b/>
          <w:bCs/>
        </w:rPr>
        <w:t>statute</w:t>
      </w:r>
      <w:r w:rsidR="005B16AE" w:rsidRPr="0079374E">
        <w:rPr>
          <w:b/>
          <w:bCs/>
        </w:rPr>
        <w:t xml:space="preserve"> and subsection of conviction, </w:t>
      </w:r>
      <w:proofErr w:type="gramStart"/>
      <w:r w:rsidR="005B16AE" w:rsidRPr="0079374E">
        <w:rPr>
          <w:b/>
          <w:bCs/>
        </w:rPr>
        <w:t>e.g.</w:t>
      </w:r>
      <w:proofErr w:type="gramEnd"/>
      <w:r w:rsidR="005B16AE" w:rsidRPr="0079374E">
        <w:rPr>
          <w:b/>
          <w:bCs/>
        </w:rPr>
        <w:t xml:space="preserve"> </w:t>
      </w:r>
      <w:r w:rsidR="0082174E" w:rsidRPr="0079374E">
        <w:rPr>
          <w:b/>
          <w:bCs/>
        </w:rPr>
        <w:t xml:space="preserve">220.06(5) or </w:t>
      </w:r>
      <w:r w:rsidR="005B16AE" w:rsidRPr="0079374E">
        <w:rPr>
          <w:b/>
          <w:bCs/>
        </w:rPr>
        <w:t>220.39(1)</w:t>
      </w:r>
      <w:r w:rsidR="001B5634" w:rsidRPr="0079374E">
        <w:rPr>
          <w:b/>
          <w:bCs/>
        </w:rPr>
        <w:t>]</w:t>
      </w:r>
      <w:r w:rsidR="005B16AE" w:rsidRPr="0079374E">
        <w:rPr>
          <w:b/>
          <w:bCs/>
        </w:rPr>
        <w:t xml:space="preserve"> </w:t>
      </w:r>
      <w:r w:rsidR="005B16AE" w:rsidRPr="0079374E">
        <w:t>is</w:t>
      </w:r>
      <w:r w:rsidRPr="0079374E">
        <w:t xml:space="preserve"> categorically</w:t>
      </w:r>
      <w:r w:rsidR="005B16AE" w:rsidRPr="0079374E">
        <w:t xml:space="preserve"> an</w:t>
      </w:r>
      <w:r w:rsidRPr="0079374E">
        <w:t xml:space="preserve"> </w:t>
      </w:r>
      <w:r w:rsidR="001B5634" w:rsidRPr="0079374E">
        <w:rPr>
          <w:b/>
          <w:bCs/>
        </w:rPr>
        <w:t>[</w:t>
      </w:r>
      <w:r w:rsidR="005B16AE" w:rsidRPr="0079374E">
        <w:rPr>
          <w:b/>
          <w:bCs/>
        </w:rPr>
        <w:t>aggravated felony] [and/or] [offense relating to a controlled substance]</w:t>
      </w:r>
      <w:r w:rsidR="00A30E9F" w:rsidRPr="0079374E">
        <w:t>.</w:t>
      </w:r>
      <w:r w:rsidRPr="0079374E">
        <w:t xml:space="preserve"> </w:t>
      </w:r>
      <w:r w:rsidR="005B16AE" w:rsidRPr="0079374E">
        <w:t>The statute of conviction is a</w:t>
      </w:r>
      <w:r w:rsidR="0082174E" w:rsidRPr="0079374E">
        <w:t xml:space="preserve"> </w:t>
      </w:r>
      <w:r w:rsidR="0082174E" w:rsidRPr="0079374E">
        <w:rPr>
          <w:b/>
          <w:bCs/>
        </w:rPr>
        <w:t xml:space="preserve">[“cocaine or </w:t>
      </w:r>
      <w:r w:rsidR="005B16AE" w:rsidRPr="0079374E">
        <w:rPr>
          <w:b/>
          <w:bCs/>
        </w:rPr>
        <w:t>“narcotic drug”</w:t>
      </w:r>
      <w:r w:rsidR="0082174E" w:rsidRPr="0079374E">
        <w:rPr>
          <w:b/>
          <w:bCs/>
        </w:rPr>
        <w:t>]</w:t>
      </w:r>
      <w:r w:rsidR="005B16AE" w:rsidRPr="0079374E">
        <w:t xml:space="preserve"> statute and is therefore overbroad an indivisible under </w:t>
      </w:r>
      <w:r w:rsidR="005B16AE" w:rsidRPr="0079374E">
        <w:rPr>
          <w:i/>
          <w:iCs/>
        </w:rPr>
        <w:t>Minter</w:t>
      </w:r>
      <w:r w:rsidR="005B16AE" w:rsidRPr="0079374E">
        <w:t xml:space="preserve">, making clear that </w:t>
      </w:r>
      <w:r w:rsidR="006F2D60" w:rsidRPr="0079374E">
        <w:t>the Board’s decision in</w:t>
      </w:r>
      <w:r w:rsidR="005B16AE" w:rsidRPr="0079374E">
        <w:t xml:space="preserve"> Respondent’s </w:t>
      </w:r>
      <w:r w:rsidR="006F2D60" w:rsidRPr="0079374E">
        <w:t>case was a legal error.</w:t>
      </w:r>
    </w:p>
    <w:p w14:paraId="17B22C73" w14:textId="44B0F0A2" w:rsidR="00184629" w:rsidRPr="0079374E" w:rsidRDefault="005B16AE" w:rsidP="004F5EDB">
      <w:pPr>
        <w:widowControl w:val="0"/>
        <w:spacing w:line="480" w:lineRule="auto"/>
        <w:ind w:firstLine="720"/>
      </w:pPr>
      <w:r w:rsidRPr="0079374E">
        <w:t xml:space="preserve">For three reasons, this Board must </w:t>
      </w:r>
      <w:r w:rsidRPr="0079374E">
        <w:rPr>
          <w:b/>
          <w:bCs/>
        </w:rPr>
        <w:t xml:space="preserve">[reconsider and terminate removal proceedings] [and/or] [reconsider, reopen, and remand removal proceedings for purposes of relief] </w:t>
      </w:r>
      <w:r w:rsidRPr="0079374E">
        <w:t xml:space="preserve">in Respondent’s case. First, this Board is unauthorized to </w:t>
      </w:r>
      <w:r w:rsidRPr="0079374E">
        <w:rPr>
          <w:b/>
          <w:bCs/>
        </w:rPr>
        <w:t xml:space="preserve">[persist with a removal order where the noncitizen is not removable] [and/or] </w:t>
      </w:r>
      <w:r w:rsidR="0059139A" w:rsidRPr="0079374E">
        <w:rPr>
          <w:b/>
          <w:bCs/>
        </w:rPr>
        <w:t>[</w:t>
      </w:r>
      <w:r w:rsidRPr="0079374E">
        <w:rPr>
          <w:b/>
          <w:bCs/>
        </w:rPr>
        <w:t>persist with pretermitting an application for statutory relief where a statutory bar to relief does not exist]</w:t>
      </w:r>
      <w:r w:rsidRPr="0079374E">
        <w:t>.</w:t>
      </w:r>
      <w:r w:rsidR="00A25EB2" w:rsidRPr="0079374E">
        <w:t xml:space="preserve"> Second, </w:t>
      </w:r>
      <w:r w:rsidR="0059139A" w:rsidRPr="0079374E">
        <w:rPr>
          <w:b/>
          <w:bCs/>
        </w:rPr>
        <w:t>[</w:t>
      </w:r>
      <w:r w:rsidR="00A25EB2" w:rsidRPr="0079374E">
        <w:rPr>
          <w:b/>
          <w:bCs/>
        </w:rPr>
        <w:t xml:space="preserve">this is a </w:t>
      </w:r>
      <w:r w:rsidR="00F97915" w:rsidRPr="0079374E">
        <w:rPr>
          <w:b/>
          <w:bCs/>
        </w:rPr>
        <w:t xml:space="preserve">timely filed </w:t>
      </w:r>
      <w:r w:rsidR="00F97915" w:rsidRPr="0079374E">
        <w:rPr>
          <w:b/>
          <w:bCs/>
        </w:rPr>
        <w:lastRenderedPageBreak/>
        <w:t>statutory motion</w:t>
      </w:r>
      <w:r w:rsidR="0059139A" w:rsidRPr="0079374E">
        <w:rPr>
          <w:b/>
          <w:bCs/>
        </w:rPr>
        <w:t>] [or] [</w:t>
      </w:r>
      <w:r w:rsidR="00F97915" w:rsidRPr="0079374E">
        <w:rPr>
          <w:b/>
          <w:bCs/>
        </w:rPr>
        <w:t xml:space="preserve">this Board must equitably toll any applicable time or number requirements because Respondent exercised reasonable diligence in filing this motion after learning of the Second Circuit’s decision in </w:t>
      </w:r>
      <w:r w:rsidR="00F97915" w:rsidRPr="0079374E">
        <w:rPr>
          <w:b/>
          <w:bCs/>
          <w:i/>
          <w:iCs/>
        </w:rPr>
        <w:t>Minter</w:t>
      </w:r>
      <w:r w:rsidR="00F97915" w:rsidRPr="0079374E">
        <w:rPr>
          <w:b/>
          <w:bCs/>
        </w:rPr>
        <w:t xml:space="preserve">, and because the decision in </w:t>
      </w:r>
      <w:r w:rsidR="00F97915" w:rsidRPr="0079374E">
        <w:rPr>
          <w:b/>
          <w:bCs/>
          <w:i/>
          <w:iCs/>
        </w:rPr>
        <w:t>Minter</w:t>
      </w:r>
      <w:r w:rsidR="00F97915" w:rsidRPr="0079374E">
        <w:rPr>
          <w:b/>
          <w:bCs/>
        </w:rPr>
        <w:t xml:space="preserve"> is an extraordinary circumstance </w:t>
      </w:r>
      <w:r w:rsidR="001660C8" w:rsidRPr="0079374E">
        <w:rPr>
          <w:b/>
          <w:bCs/>
        </w:rPr>
        <w:t xml:space="preserve">and Respondent could not have filed this motion prior to </w:t>
      </w:r>
      <w:r w:rsidR="001660C8" w:rsidRPr="0079374E">
        <w:rPr>
          <w:b/>
          <w:bCs/>
          <w:i/>
          <w:iCs/>
        </w:rPr>
        <w:t>Minter</w:t>
      </w:r>
      <w:r w:rsidR="0059139A" w:rsidRPr="0079374E">
        <w:rPr>
          <w:b/>
          <w:bCs/>
        </w:rPr>
        <w:t>, and so this motion must be treated as tim</w:t>
      </w:r>
      <w:r w:rsidR="00792EDD" w:rsidRPr="0079374E">
        <w:rPr>
          <w:b/>
          <w:bCs/>
        </w:rPr>
        <w:t>e</w:t>
      </w:r>
      <w:r w:rsidR="0059139A" w:rsidRPr="0079374E">
        <w:rPr>
          <w:b/>
          <w:bCs/>
        </w:rPr>
        <w:t>ly filed under the statute]</w:t>
      </w:r>
      <w:r w:rsidR="00F97915" w:rsidRPr="0079374E">
        <w:t>. Third,</w:t>
      </w:r>
      <w:r w:rsidR="0059139A" w:rsidRPr="0079374E">
        <w:t xml:space="preserve"> in the alternative,</w:t>
      </w:r>
      <w:r w:rsidR="00F97915" w:rsidRPr="0079374E">
        <w:t xml:space="preserve"> this Board </w:t>
      </w:r>
      <w:r w:rsidR="0059139A" w:rsidRPr="0079374E">
        <w:t xml:space="preserve">should reconsider or reopen </w:t>
      </w:r>
      <w:r w:rsidR="00F97915" w:rsidRPr="0079374E">
        <w:t xml:space="preserve">removal proceedings </w:t>
      </w:r>
      <w:proofErr w:type="spellStart"/>
      <w:r w:rsidR="00F97915" w:rsidRPr="0079374E">
        <w:rPr>
          <w:i/>
          <w:iCs/>
        </w:rPr>
        <w:t>sua</w:t>
      </w:r>
      <w:proofErr w:type="spellEnd"/>
      <w:r w:rsidR="00F97915" w:rsidRPr="0079374E">
        <w:rPr>
          <w:i/>
          <w:iCs/>
        </w:rPr>
        <w:t xml:space="preserve"> sponte</w:t>
      </w:r>
      <w:r w:rsidR="00F97915" w:rsidRPr="0079374E">
        <w:t xml:space="preserve"> because the removal error was issued due to legal error and because Respondent’s personal equities require </w:t>
      </w:r>
      <w:proofErr w:type="spellStart"/>
      <w:r w:rsidR="00F97915" w:rsidRPr="0079374E">
        <w:rPr>
          <w:i/>
          <w:iCs/>
        </w:rPr>
        <w:t>sua</w:t>
      </w:r>
      <w:proofErr w:type="spellEnd"/>
      <w:r w:rsidR="00F97915" w:rsidRPr="0079374E">
        <w:rPr>
          <w:i/>
          <w:iCs/>
        </w:rPr>
        <w:t xml:space="preserve"> sponte</w:t>
      </w:r>
      <w:r w:rsidR="00F97915" w:rsidRPr="0079374E">
        <w:t xml:space="preserve"> reconsideration</w:t>
      </w:r>
      <w:r w:rsidR="0059139A" w:rsidRPr="0079374E">
        <w:t xml:space="preserve"> </w:t>
      </w:r>
      <w:r w:rsidR="00F97915" w:rsidRPr="0079374E">
        <w:t>or</w:t>
      </w:r>
      <w:r w:rsidR="004B54A6" w:rsidRPr="0079374E">
        <w:t xml:space="preserve"> </w:t>
      </w:r>
      <w:r w:rsidR="00F97915" w:rsidRPr="0079374E">
        <w:t>reopening.</w:t>
      </w:r>
    </w:p>
    <w:p w14:paraId="6165266E" w14:textId="1D37661C" w:rsidR="00B913AE" w:rsidRPr="0079374E" w:rsidRDefault="00B913AE" w:rsidP="004F5EDB">
      <w:pPr>
        <w:widowControl w:val="0"/>
        <w:spacing w:line="480" w:lineRule="auto"/>
        <w:ind w:firstLine="720"/>
        <w:rPr>
          <w:b/>
          <w:bCs/>
        </w:rPr>
      </w:pPr>
      <w:r w:rsidRPr="0079374E">
        <w:rPr>
          <w:b/>
          <w:bCs/>
        </w:rPr>
        <w:t>[</w:t>
      </w:r>
      <w:r w:rsidR="0059139A" w:rsidRPr="0079374E">
        <w:rPr>
          <w:b/>
          <w:bCs/>
        </w:rPr>
        <w:t>IF RESPONDENT IS OUTSIDE OF THE UNITED STATES, ADD:</w:t>
      </w:r>
      <w:r w:rsidR="0059139A" w:rsidRPr="0079374E">
        <w:t xml:space="preserve"> </w:t>
      </w:r>
      <w:r w:rsidRPr="0079374E">
        <w:t>Further, the instant motion is not barred pursuant to the regulatory departure bar</w:t>
      </w:r>
      <w:r w:rsidR="00AB47FD" w:rsidRPr="0079374E">
        <w:t xml:space="preserve">, 8 C.F.R. § 1003.2(d), </w:t>
      </w:r>
      <w:r w:rsidRPr="0079374E">
        <w:t>because</w:t>
      </w:r>
      <w:r w:rsidR="00694D11">
        <w:t xml:space="preserve"> the</w:t>
      </w:r>
      <w:r w:rsidRPr="0079374E">
        <w:t xml:space="preserve"> </w:t>
      </w:r>
      <w:r w:rsidR="0059139A" w:rsidRPr="0079374E">
        <w:t>departure bar is unauthorized</w:t>
      </w:r>
      <w:r w:rsidR="00AB47FD" w:rsidRPr="0079374E">
        <w:t xml:space="preserve"> as applied to motions filed by the parties,</w:t>
      </w:r>
      <w:r w:rsidR="0059139A" w:rsidRPr="0079374E">
        <w:t xml:space="preserve"> under </w:t>
      </w:r>
      <w:proofErr w:type="spellStart"/>
      <w:r w:rsidR="0059139A" w:rsidRPr="0079374E">
        <w:rPr>
          <w:i/>
          <w:iCs/>
        </w:rPr>
        <w:t>Kisor</w:t>
      </w:r>
      <w:proofErr w:type="spellEnd"/>
      <w:r w:rsidR="0059139A" w:rsidRPr="0079374E">
        <w:rPr>
          <w:i/>
          <w:iCs/>
        </w:rPr>
        <w:t xml:space="preserve"> v. </w:t>
      </w:r>
      <w:proofErr w:type="spellStart"/>
      <w:r w:rsidR="0059139A" w:rsidRPr="0079374E">
        <w:rPr>
          <w:i/>
          <w:iCs/>
        </w:rPr>
        <w:t>Wilkie</w:t>
      </w:r>
      <w:proofErr w:type="spellEnd"/>
      <w:r w:rsidR="0059139A" w:rsidRPr="0079374E">
        <w:t xml:space="preserve">, 139 S. Ct. 2400, 2415 (2019). In addition, </w:t>
      </w:r>
      <w:r w:rsidRPr="0079374E">
        <w:t>the Second Circuit has held that the departure bar is invalid for statutory motions.</w:t>
      </w:r>
      <w:r w:rsidR="00AB47FD" w:rsidRPr="0079374E">
        <w:t xml:space="preserve"> </w:t>
      </w:r>
      <w:r w:rsidR="00AB47FD" w:rsidRPr="0079374E">
        <w:rPr>
          <w:i/>
        </w:rPr>
        <w:t>See Luna v. Holder</w:t>
      </w:r>
      <w:r w:rsidR="00AB47FD" w:rsidRPr="0079374E">
        <w:t>, 637 F.3d 85, 100 (2d Cir. 2011) (</w:t>
      </w:r>
      <w:r w:rsidR="00AB47FD" w:rsidRPr="0079374E">
        <w:rPr>
          <w:i/>
        </w:rPr>
        <w:t xml:space="preserve">overruling Matter of </w:t>
      </w:r>
      <w:proofErr w:type="spellStart"/>
      <w:r w:rsidR="00AB47FD" w:rsidRPr="0079374E">
        <w:rPr>
          <w:i/>
        </w:rPr>
        <w:t>Armendarez</w:t>
      </w:r>
      <w:proofErr w:type="spellEnd"/>
      <w:r w:rsidR="00AB47FD" w:rsidRPr="0079374E">
        <w:rPr>
          <w:i/>
        </w:rPr>
        <w:t>-Mendez</w:t>
      </w:r>
      <w:r w:rsidR="00AB47FD" w:rsidRPr="0079374E">
        <w:t>, 24 I&amp;N Dec. 646, 653-60 (BIA 2008)).</w:t>
      </w:r>
      <w:r w:rsidRPr="0079374E">
        <w:rPr>
          <w:b/>
          <w:bCs/>
        </w:rPr>
        <w:t>]</w:t>
      </w:r>
      <w:r w:rsidRPr="0079374E">
        <w:t>.</w:t>
      </w:r>
    </w:p>
    <w:p w14:paraId="295FEC01" w14:textId="496637B1" w:rsidR="00184629" w:rsidRPr="0079374E" w:rsidRDefault="00184629" w:rsidP="00184629">
      <w:pPr>
        <w:widowControl w:val="0"/>
        <w:spacing w:line="480" w:lineRule="auto"/>
        <w:jc w:val="center"/>
      </w:pPr>
      <w:r w:rsidRPr="0079374E">
        <w:rPr>
          <w:b/>
          <w:u w:val="single"/>
        </w:rPr>
        <w:t>STATEMENT OF FACTS AND STATEMENT OF THE CASE</w:t>
      </w:r>
    </w:p>
    <w:p w14:paraId="508449F8" w14:textId="56646CE4" w:rsidR="00184629" w:rsidRPr="0079374E" w:rsidRDefault="00991F2D" w:rsidP="001737F0">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79374E">
        <w:tab/>
      </w:r>
      <w:r w:rsidRPr="0079374E">
        <w:rPr>
          <w:b/>
          <w:bCs/>
        </w:rPr>
        <w:t>[</w:t>
      </w:r>
      <w:r w:rsidR="00AB47FD" w:rsidRPr="0079374E">
        <w:rPr>
          <w:b/>
          <w:bCs/>
        </w:rPr>
        <w:t xml:space="preserve">ADD: </w:t>
      </w:r>
      <w:r w:rsidRPr="0079374E">
        <w:rPr>
          <w:b/>
          <w:bCs/>
        </w:rPr>
        <w:t xml:space="preserve">Facts regarding </w:t>
      </w:r>
      <w:r w:rsidR="00F97915" w:rsidRPr="0079374E">
        <w:rPr>
          <w:b/>
          <w:bCs/>
        </w:rPr>
        <w:t xml:space="preserve">Respondent’s prior </w:t>
      </w:r>
      <w:r w:rsidRPr="0079374E">
        <w:rPr>
          <w:b/>
          <w:bCs/>
        </w:rPr>
        <w:t>immigration status</w:t>
      </w:r>
      <w:r w:rsidR="001660C8" w:rsidRPr="0079374E">
        <w:rPr>
          <w:b/>
          <w:bCs/>
        </w:rPr>
        <w:t xml:space="preserve">; </w:t>
      </w:r>
      <w:r w:rsidRPr="0079374E">
        <w:rPr>
          <w:b/>
          <w:bCs/>
        </w:rPr>
        <w:t xml:space="preserve">date </w:t>
      </w:r>
      <w:r w:rsidR="001660C8" w:rsidRPr="0079374E">
        <w:rPr>
          <w:b/>
          <w:bCs/>
        </w:rPr>
        <w:t>of</w:t>
      </w:r>
      <w:r w:rsidRPr="0079374E">
        <w:rPr>
          <w:b/>
          <w:bCs/>
        </w:rPr>
        <w:t xml:space="preserve"> removal</w:t>
      </w:r>
      <w:r w:rsidR="001660C8" w:rsidRPr="0079374E">
        <w:rPr>
          <w:b/>
          <w:bCs/>
        </w:rPr>
        <w:t xml:space="preserve"> order;</w:t>
      </w:r>
      <w:r w:rsidRPr="0079374E">
        <w:rPr>
          <w:b/>
          <w:bCs/>
        </w:rPr>
        <w:t xml:space="preserve"> date</w:t>
      </w:r>
      <w:r w:rsidR="001660C8" w:rsidRPr="0079374E">
        <w:rPr>
          <w:b/>
          <w:bCs/>
        </w:rPr>
        <w:t xml:space="preserve"> of conviction; NYPL </w:t>
      </w:r>
      <w:r w:rsidRPr="0079374E">
        <w:rPr>
          <w:b/>
          <w:bCs/>
        </w:rPr>
        <w:t>statute</w:t>
      </w:r>
      <w:r w:rsidR="001660C8" w:rsidRPr="0079374E">
        <w:rPr>
          <w:b/>
          <w:bCs/>
        </w:rPr>
        <w:t xml:space="preserve"> and subsection</w:t>
      </w:r>
      <w:r w:rsidRPr="0079374E">
        <w:rPr>
          <w:b/>
          <w:bCs/>
        </w:rPr>
        <w:t xml:space="preserve"> of conviction</w:t>
      </w:r>
      <w:r w:rsidR="001660C8" w:rsidRPr="0079374E">
        <w:rPr>
          <w:b/>
          <w:bCs/>
        </w:rPr>
        <w:t>.]</w:t>
      </w:r>
      <w:r w:rsidR="001660C8" w:rsidRPr="0079374E">
        <w:t xml:space="preserve"> In Respondent’s removal proceedings, the BIA found or held Respondent’s prior conviction to render Respondent </w:t>
      </w:r>
      <w:r w:rsidR="001660C8" w:rsidRPr="0079374E">
        <w:rPr>
          <w:b/>
          <w:bCs/>
        </w:rPr>
        <w:t>[removable] [and/or] [ineligible for relief]</w:t>
      </w:r>
      <w:r w:rsidR="001660C8" w:rsidRPr="0079374E">
        <w:t>.</w:t>
      </w:r>
    </w:p>
    <w:p w14:paraId="7E168A6E" w14:textId="4417A0A3" w:rsidR="00184629" w:rsidRPr="0079374E" w:rsidRDefault="00184629" w:rsidP="0018462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u w:val="single"/>
        </w:rPr>
      </w:pPr>
      <w:r w:rsidRPr="0079374E">
        <w:rPr>
          <w:b/>
          <w:u w:val="single"/>
        </w:rPr>
        <w:t>STANDARD</w:t>
      </w:r>
      <w:r w:rsidR="00AA6572" w:rsidRPr="0079374E">
        <w:rPr>
          <w:b/>
          <w:u w:val="single"/>
        </w:rPr>
        <w:t>S</w:t>
      </w:r>
      <w:r w:rsidRPr="0079374E">
        <w:rPr>
          <w:b/>
          <w:u w:val="single"/>
        </w:rPr>
        <w:t xml:space="preserve"> FOR RECONSIDERATION</w:t>
      </w:r>
      <w:r w:rsidR="007570D9" w:rsidRPr="0079374E">
        <w:rPr>
          <w:b/>
          <w:u w:val="single"/>
        </w:rPr>
        <w:t xml:space="preserve"> AND REOPENING</w:t>
      </w:r>
    </w:p>
    <w:p w14:paraId="41C987E9" w14:textId="51AF4D61" w:rsidR="00184629" w:rsidRPr="0079374E"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79374E">
        <w:tab/>
        <w:t>A</w:t>
      </w:r>
      <w:r w:rsidR="00AA6572" w:rsidRPr="0079374E">
        <w:t xml:space="preserve"> statutory</w:t>
      </w:r>
      <w:r w:rsidRPr="0079374E">
        <w:t xml:space="preserve"> motion to reconsider </w:t>
      </w:r>
      <w:r w:rsidR="007570D9" w:rsidRPr="0079374E">
        <w:t>“</w:t>
      </w:r>
      <w:r w:rsidRPr="0079374E">
        <w:t>shall specify the errors of law or fact in the previous order and shall be supported by pertinent authority.</w:t>
      </w:r>
      <w:r w:rsidR="007570D9" w:rsidRPr="0079374E">
        <w:t>”</w:t>
      </w:r>
      <w:r w:rsidRPr="0079374E">
        <w:t xml:space="preserve"> INA § 240(c)(6)(C);</w:t>
      </w:r>
      <w:r w:rsidR="007570D9" w:rsidRPr="0079374E">
        <w:t xml:space="preserve"> </w:t>
      </w:r>
      <w:r w:rsidR="007570D9" w:rsidRPr="0079374E">
        <w:rPr>
          <w:i/>
          <w:iCs/>
        </w:rPr>
        <w:t>see also</w:t>
      </w:r>
      <w:r w:rsidRPr="0079374E">
        <w:t xml:space="preserve"> 8 C.F.R. § 1003.</w:t>
      </w:r>
      <w:r w:rsidR="00AA6572" w:rsidRPr="0079374E">
        <w:t>2</w:t>
      </w:r>
      <w:r w:rsidRPr="0079374E">
        <w:t>(b)(1). In general, a respondent may file one motion to reconsider</w:t>
      </w:r>
      <w:r w:rsidR="007570D9" w:rsidRPr="0079374E">
        <w:t xml:space="preserve">, which must be within </w:t>
      </w:r>
      <w:r w:rsidRPr="0079374E">
        <w:lastRenderedPageBreak/>
        <w:t>30 days of the date of</w:t>
      </w:r>
      <w:r w:rsidR="007570D9" w:rsidRPr="0079374E">
        <w:t xml:space="preserve"> entry of</w:t>
      </w:r>
      <w:r w:rsidRPr="0079374E">
        <w:t xml:space="preserve"> a final removal order</w:t>
      </w:r>
      <w:r w:rsidR="007570D9" w:rsidRPr="0079374E">
        <w:t xml:space="preserve">. </w:t>
      </w:r>
      <w:r w:rsidR="007570D9" w:rsidRPr="0079374E">
        <w:rPr>
          <w:i/>
          <w:iCs/>
        </w:rPr>
        <w:t xml:space="preserve">See </w:t>
      </w:r>
      <w:r w:rsidRPr="0079374E">
        <w:t>INA § 240(c)(6)(</w:t>
      </w:r>
      <w:proofErr w:type="gramStart"/>
      <w:r w:rsidRPr="0079374E">
        <w:t>A</w:t>
      </w:r>
      <w:r w:rsidR="00AA6572" w:rsidRPr="0079374E">
        <w:t>)-(</w:t>
      </w:r>
      <w:proofErr w:type="gramEnd"/>
      <w:r w:rsidRPr="0079374E">
        <w:t>B</w:t>
      </w:r>
      <w:r w:rsidR="007570D9" w:rsidRPr="0079374E">
        <w:t xml:space="preserve">); </w:t>
      </w:r>
      <w:r w:rsidRPr="0079374E">
        <w:t>8 C.F.R. § 1003.2(b)(2).</w:t>
      </w:r>
      <w:r w:rsidR="007570D9" w:rsidRPr="0079374E">
        <w:t xml:space="preserve"> Both </w:t>
      </w:r>
      <w:r w:rsidR="00873598" w:rsidRPr="0079374E">
        <w:t xml:space="preserve">the time and number limitations </w:t>
      </w:r>
      <w:r w:rsidR="007570D9" w:rsidRPr="0079374E">
        <w:t xml:space="preserve">are subject to equitable tolling. </w:t>
      </w:r>
      <w:r w:rsidR="007570D9" w:rsidRPr="0079374E">
        <w:rPr>
          <w:i/>
          <w:iCs/>
        </w:rPr>
        <w:t>See</w:t>
      </w:r>
      <w:r w:rsidRPr="0079374E">
        <w:t xml:space="preserve"> </w:t>
      </w:r>
      <w:proofErr w:type="spellStart"/>
      <w:r w:rsidR="007570D9" w:rsidRPr="0079374E">
        <w:rPr>
          <w:i/>
        </w:rPr>
        <w:t>Iavorski</w:t>
      </w:r>
      <w:proofErr w:type="spellEnd"/>
      <w:r w:rsidR="007570D9" w:rsidRPr="0079374E">
        <w:rPr>
          <w:i/>
        </w:rPr>
        <w:t xml:space="preserve"> v. INS</w:t>
      </w:r>
      <w:r w:rsidR="007570D9" w:rsidRPr="0079374E">
        <w:t>, 232 F.3d 124, 134 (2d Cir. 2000) (Sotomayor, J</w:t>
      </w:r>
      <w:r w:rsidR="00873598" w:rsidRPr="0079374E">
        <w:t xml:space="preserve">.); </w:t>
      </w:r>
      <w:r w:rsidR="00873598" w:rsidRPr="0079374E">
        <w:rPr>
          <w:i/>
          <w:iCs/>
        </w:rPr>
        <w:t>Zhao v. INS</w:t>
      </w:r>
      <w:r w:rsidR="00873598" w:rsidRPr="0079374E">
        <w:t>, 452 F.3d 154, 158-59 (2d Cir. 2006).</w:t>
      </w:r>
    </w:p>
    <w:p w14:paraId="5C3ADD8D" w14:textId="4D3866F1" w:rsidR="007570D9" w:rsidRPr="0079374E" w:rsidRDefault="007570D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79374E">
        <w:tab/>
        <w:t>A statutory motion to reopen “shall state the new facts that will be proven at a hearing to be held if the motion is granted, and shall be supported by affidavits or other evidentiary material.” INA § 240(c)(7)(B)</w:t>
      </w:r>
      <w:r w:rsidR="00B913AE" w:rsidRPr="0079374E">
        <w:t xml:space="preserve">; </w:t>
      </w:r>
      <w:r w:rsidR="00B913AE" w:rsidRPr="0079374E">
        <w:rPr>
          <w:i/>
          <w:iCs/>
        </w:rPr>
        <w:t>see also</w:t>
      </w:r>
      <w:r w:rsidR="00B913AE" w:rsidRPr="0079374E">
        <w:t xml:space="preserve"> 8 C.F.R. § 1003.2(c)(1)</w:t>
      </w:r>
      <w:r w:rsidRPr="0079374E">
        <w:t>. In general, a respondent may file one motion to re</w:t>
      </w:r>
      <w:r w:rsidR="00B913AE" w:rsidRPr="0079374E">
        <w:t>o</w:t>
      </w:r>
      <w:r w:rsidRPr="0079374E">
        <w:t xml:space="preserve">pen, which must be within 90 days of the date of entry of a final removal order. </w:t>
      </w:r>
      <w:r w:rsidRPr="0079374E">
        <w:rPr>
          <w:i/>
          <w:iCs/>
        </w:rPr>
        <w:t xml:space="preserve">See </w:t>
      </w:r>
      <w:r w:rsidRPr="0079374E">
        <w:t>INA § 240(c)(7)(</w:t>
      </w:r>
      <w:proofErr w:type="gramStart"/>
      <w:r w:rsidRPr="0079374E">
        <w:t>A)-(</w:t>
      </w:r>
      <w:proofErr w:type="gramEnd"/>
      <w:r w:rsidRPr="0079374E">
        <w:t>C)</w:t>
      </w:r>
      <w:r w:rsidR="00B913AE" w:rsidRPr="0079374E">
        <w:t xml:space="preserve">; </w:t>
      </w:r>
      <w:r w:rsidR="00B913AE" w:rsidRPr="0079374E">
        <w:rPr>
          <w:i/>
          <w:iCs/>
        </w:rPr>
        <w:t xml:space="preserve">see also </w:t>
      </w:r>
      <w:r w:rsidR="00B913AE" w:rsidRPr="0079374E">
        <w:t>8 C.F.R. § 1003.2(c)(2)</w:t>
      </w:r>
      <w:r w:rsidRPr="0079374E">
        <w:t xml:space="preserve">. Both </w:t>
      </w:r>
      <w:r w:rsidR="00873598" w:rsidRPr="0079374E">
        <w:t xml:space="preserve">the time and number limitations </w:t>
      </w:r>
      <w:r w:rsidRPr="0079374E">
        <w:t xml:space="preserve">are subject to equitable tolling. </w:t>
      </w:r>
      <w:r w:rsidRPr="0079374E">
        <w:rPr>
          <w:i/>
          <w:iCs/>
        </w:rPr>
        <w:t>See</w:t>
      </w:r>
      <w:r w:rsidRPr="0079374E">
        <w:t xml:space="preserve"> </w:t>
      </w:r>
      <w:proofErr w:type="spellStart"/>
      <w:r w:rsidRPr="0079374E">
        <w:rPr>
          <w:i/>
        </w:rPr>
        <w:t>Iavorski</w:t>
      </w:r>
      <w:proofErr w:type="spellEnd"/>
      <w:r w:rsidRPr="0079374E">
        <w:t>, 232 F.3d at 134</w:t>
      </w:r>
      <w:r w:rsidR="00873598" w:rsidRPr="0079374E">
        <w:t xml:space="preserve">; </w:t>
      </w:r>
      <w:r w:rsidR="00873598" w:rsidRPr="0079374E">
        <w:rPr>
          <w:i/>
          <w:iCs/>
        </w:rPr>
        <w:t>Zhao</w:t>
      </w:r>
      <w:r w:rsidR="00873598" w:rsidRPr="0079374E">
        <w:t>, 452 F.3d at 158-59.</w:t>
      </w:r>
    </w:p>
    <w:p w14:paraId="059D6F07" w14:textId="3CF9C118" w:rsidR="007570D9" w:rsidRPr="0079374E" w:rsidRDefault="00B913AE" w:rsidP="007570D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79374E">
        <w:t xml:space="preserve">The INA does not vest the BIA or Immigration Court with authority to impose “conviction”-based statutory removability or relief ineligibility where a conviction does not correspond to a removability provision. </w:t>
      </w:r>
      <w:r w:rsidRPr="0079374E">
        <w:rPr>
          <w:i/>
          <w:iCs/>
        </w:rPr>
        <w:t xml:space="preserve">See </w:t>
      </w:r>
      <w:proofErr w:type="spellStart"/>
      <w:r w:rsidRPr="0079374E">
        <w:rPr>
          <w:i/>
          <w:iCs/>
        </w:rPr>
        <w:t>Woodby</w:t>
      </w:r>
      <w:proofErr w:type="spellEnd"/>
      <w:r w:rsidRPr="0079374E">
        <w:rPr>
          <w:i/>
          <w:iCs/>
        </w:rPr>
        <w:t xml:space="preserve"> v. I.N.S.</w:t>
      </w:r>
      <w:r w:rsidRPr="0079374E">
        <w:t>, 385 U.S. 276, 277 (1966) (“The question presented by these cases is what burden of proof the Government must sustain in deportation proceedings. We have concluded that it is incumbent upon the Government in such proceedings to establish facts supporting deportability by clear, unequivocal, and convincing evidence.”).</w:t>
      </w:r>
    </w:p>
    <w:p w14:paraId="6278AA3A" w14:textId="2770BAEA" w:rsidR="00420E8D" w:rsidRPr="0079374E" w:rsidRDefault="00420E8D" w:rsidP="00420E8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79374E">
        <w:rPr>
          <w:b/>
          <w:bCs/>
        </w:rPr>
        <w:t>[IF APPLYING FOR RELIEF, ADD:</w:t>
      </w:r>
      <w:r w:rsidRPr="0079374E">
        <w:t xml:space="preserve"> “A motion to reopen proceedings for the purpose of submitting an application for relief must be accompanied by the appropriate application for relief and all supporting documentation.” 8 C.F.R. § 1003.2(c)(1).</w:t>
      </w:r>
      <w:r w:rsidRPr="0079374E">
        <w:rPr>
          <w:b/>
          <w:bCs/>
        </w:rPr>
        <w:t>]</w:t>
      </w:r>
      <w:r w:rsidRPr="0079374E">
        <w:t>.</w:t>
      </w:r>
    </w:p>
    <w:p w14:paraId="3A91A411" w14:textId="23F292DC" w:rsidR="00184629" w:rsidRPr="0079374E" w:rsidRDefault="00184629" w:rsidP="00B83355">
      <w:pPr>
        <w:spacing w:line="480" w:lineRule="auto"/>
        <w:ind w:firstLine="720"/>
      </w:pPr>
      <w:r w:rsidRPr="0079374E">
        <w:lastRenderedPageBreak/>
        <w:t>“</w:t>
      </w:r>
      <w:r w:rsidR="00B913AE" w:rsidRPr="0079374E">
        <w:t xml:space="preserve">[A] </w:t>
      </w:r>
      <w:r w:rsidRPr="0079374E">
        <w:t>panel or Board member to whom a case is assigned may take any action consistent with their authorities under the Act and the regulations as is appropriate and necessary for the disposition of the case.”</w:t>
      </w:r>
      <w:r w:rsidR="00B913AE" w:rsidRPr="0079374E">
        <w:t xml:space="preserve"> 8 C.F.R. § 1003.1(d)(1)(ii).</w:t>
      </w:r>
      <w:r w:rsidRPr="0079374E">
        <w:t xml:space="preserve"> </w:t>
      </w:r>
    </w:p>
    <w:p w14:paraId="2F4181ED" w14:textId="0DBBF245" w:rsidR="00A228D5" w:rsidRPr="0079374E" w:rsidRDefault="00A228D5" w:rsidP="00A228D5">
      <w:pPr>
        <w:spacing w:line="480" w:lineRule="auto"/>
        <w:jc w:val="center"/>
      </w:pPr>
      <w:r w:rsidRPr="0079374E">
        <w:t>***</w:t>
      </w:r>
    </w:p>
    <w:p w14:paraId="75C72F35" w14:textId="07D20A30" w:rsidR="00A228D5" w:rsidRPr="0079374E" w:rsidRDefault="00A228D5" w:rsidP="004F5465">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79374E">
        <w:tab/>
        <w:t xml:space="preserve">Pursuant to 8 C.F.R. § 1003.2(e), Respondent </w:t>
      </w:r>
      <w:r w:rsidR="004F5465" w:rsidRPr="0079374E">
        <w:t>believes</w:t>
      </w:r>
      <w:r w:rsidRPr="0079374E">
        <w:t xml:space="preserve"> that 1) the validity of the removal order is not</w:t>
      </w:r>
      <w:r w:rsidRPr="0079374E">
        <w:rPr>
          <w:color w:val="C00000"/>
        </w:rPr>
        <w:t xml:space="preserve"> </w:t>
      </w:r>
      <w:r w:rsidRPr="0079374E">
        <w:t>the subject of a judicial proceeding</w:t>
      </w:r>
      <w:r w:rsidR="004F5465" w:rsidRPr="0079374E">
        <w:t xml:space="preserve"> (and Respondent will update this Board if Respondent learns of judicial proceedings)</w:t>
      </w:r>
      <w:r w:rsidRPr="0079374E">
        <w:t>;</w:t>
      </w:r>
      <w:r w:rsidR="004F5465" w:rsidRPr="0079374E">
        <w:t xml:space="preserve"> </w:t>
      </w:r>
      <w:r w:rsidRPr="0079374E">
        <w:t>2) Respondent is not</w:t>
      </w:r>
      <w:r w:rsidRPr="0079374E">
        <w:rPr>
          <w:color w:val="FF0000"/>
        </w:rPr>
        <w:t xml:space="preserve"> </w:t>
      </w:r>
      <w:r w:rsidRPr="0079374E">
        <w:t>currently the subject of a criminal proceeding under the INA; and</w:t>
      </w:r>
      <w:r w:rsidR="004F5465" w:rsidRPr="0079374E">
        <w:t xml:space="preserve"> </w:t>
      </w:r>
      <w:r w:rsidRPr="0079374E">
        <w:t>3) Respondent is not</w:t>
      </w:r>
      <w:r w:rsidRPr="0079374E">
        <w:rPr>
          <w:color w:val="FF0000"/>
        </w:rPr>
        <w:t xml:space="preserve"> </w:t>
      </w:r>
      <w:r w:rsidRPr="0079374E">
        <w:t>currently the subject of any pending criminal prosecution.</w:t>
      </w:r>
    </w:p>
    <w:p w14:paraId="004FEA22" w14:textId="21178471" w:rsidR="00184629" w:rsidRPr="0079374E"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u w:val="single"/>
        </w:rPr>
      </w:pPr>
      <w:r w:rsidRPr="0079374E">
        <w:rPr>
          <w:b/>
          <w:u w:val="single"/>
        </w:rPr>
        <w:t>ARGUMENT</w:t>
      </w:r>
    </w:p>
    <w:p w14:paraId="14D5D88C" w14:textId="55DAD8E5" w:rsidR="00184629" w:rsidRPr="0079374E" w:rsidRDefault="001C6B7B" w:rsidP="00D6244C">
      <w:pPr>
        <w:pStyle w:val="ListParagraph"/>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79374E">
        <w:rPr>
          <w:b/>
        </w:rPr>
        <w:t>This Motion to Reconsider and/or Reopen Must Be Granted Because It Specifies an Error of Law in the Board’s Decision Ordering Respondent Removed and Is Supported by Pertinent Authority</w:t>
      </w:r>
      <w:r w:rsidR="006F4BE5" w:rsidRPr="0079374E">
        <w:rPr>
          <w:b/>
        </w:rPr>
        <w:t xml:space="preserve"> (</w:t>
      </w:r>
      <w:r w:rsidRPr="0079374E">
        <w:rPr>
          <w:b/>
        </w:rPr>
        <w:t xml:space="preserve">the </w:t>
      </w:r>
      <w:r w:rsidR="001660C8" w:rsidRPr="0079374E">
        <w:rPr>
          <w:b/>
          <w:i/>
          <w:iCs/>
        </w:rPr>
        <w:t>Minter</w:t>
      </w:r>
      <w:r w:rsidRPr="0079374E">
        <w:rPr>
          <w:b/>
        </w:rPr>
        <w:t xml:space="preserve"> Decision</w:t>
      </w:r>
      <w:r w:rsidR="006F4BE5" w:rsidRPr="0079374E">
        <w:rPr>
          <w:b/>
        </w:rPr>
        <w:t>)</w:t>
      </w:r>
      <w:r w:rsidR="000F7643" w:rsidRPr="0079374E">
        <w:rPr>
          <w:b/>
        </w:rPr>
        <w:t>,</w:t>
      </w:r>
      <w:r w:rsidR="00A5608F" w:rsidRPr="0079374E">
        <w:rPr>
          <w:b/>
        </w:rPr>
        <w:t xml:space="preserve"> </w:t>
      </w:r>
      <w:r w:rsidRPr="0079374E">
        <w:rPr>
          <w:b/>
        </w:rPr>
        <w:t>the Holding of Which Renders</w:t>
      </w:r>
      <w:r w:rsidR="00184629" w:rsidRPr="0079374E">
        <w:rPr>
          <w:b/>
        </w:rPr>
        <w:t xml:space="preserve"> </w:t>
      </w:r>
      <w:r w:rsidR="001737F0" w:rsidRPr="0079374E">
        <w:rPr>
          <w:b/>
        </w:rPr>
        <w:t xml:space="preserve">New York’s </w:t>
      </w:r>
      <w:r w:rsidR="001660C8" w:rsidRPr="0079374E">
        <w:rPr>
          <w:b/>
        </w:rPr>
        <w:t xml:space="preserve">Statutory </w:t>
      </w:r>
      <w:r w:rsidR="00DA062D" w:rsidRPr="0079374E">
        <w:rPr>
          <w:b/>
        </w:rPr>
        <w:t>D</w:t>
      </w:r>
      <w:r w:rsidR="001737F0" w:rsidRPr="0079374E">
        <w:rPr>
          <w:b/>
        </w:rPr>
        <w:t xml:space="preserve">efinition of </w:t>
      </w:r>
      <w:r w:rsidR="0082174E" w:rsidRPr="0079374E">
        <w:rPr>
          <w:b/>
        </w:rPr>
        <w:t>[“Cocaine”</w:t>
      </w:r>
      <w:r w:rsidR="0082174E" w:rsidRPr="0079374E">
        <w:t xml:space="preserve"> </w:t>
      </w:r>
      <w:r w:rsidR="0082174E" w:rsidRPr="0079374E">
        <w:rPr>
          <w:b/>
          <w:bCs/>
        </w:rPr>
        <w:t>or</w:t>
      </w:r>
      <w:r w:rsidR="0082174E" w:rsidRPr="0079374E">
        <w:t xml:space="preserve"> </w:t>
      </w:r>
      <w:r w:rsidR="001660C8" w:rsidRPr="0079374E">
        <w:rPr>
          <w:b/>
        </w:rPr>
        <w:t>“</w:t>
      </w:r>
      <w:r w:rsidR="00DA062D" w:rsidRPr="0079374E">
        <w:rPr>
          <w:b/>
        </w:rPr>
        <w:t>Narcotic</w:t>
      </w:r>
      <w:r w:rsidR="001660C8" w:rsidRPr="0079374E">
        <w:rPr>
          <w:b/>
        </w:rPr>
        <w:t xml:space="preserve"> Drug”</w:t>
      </w:r>
      <w:r w:rsidR="0082174E" w:rsidRPr="0079374E">
        <w:rPr>
          <w:b/>
        </w:rPr>
        <w:t>]</w:t>
      </w:r>
      <w:r w:rsidR="001737F0" w:rsidRPr="0079374E">
        <w:rPr>
          <w:b/>
        </w:rPr>
        <w:t xml:space="preserve"> </w:t>
      </w:r>
      <w:r w:rsidR="00471DDD" w:rsidRPr="0079374E">
        <w:rPr>
          <w:b/>
        </w:rPr>
        <w:t>O</w:t>
      </w:r>
      <w:r w:rsidR="001737F0" w:rsidRPr="0079374E">
        <w:rPr>
          <w:b/>
        </w:rPr>
        <w:t>verbroad</w:t>
      </w:r>
      <w:r w:rsidR="001660C8" w:rsidRPr="0079374E">
        <w:rPr>
          <w:b/>
        </w:rPr>
        <w:t xml:space="preserve"> and Indivisible, and Thus Respondent’s Conviction Is Categorically not an Aggravated Felony or Controlled Substance Offense</w:t>
      </w:r>
      <w:r w:rsidR="006F4BE5" w:rsidRPr="0079374E">
        <w:rPr>
          <w:b/>
        </w:rPr>
        <w:t xml:space="preserve"> and Respondent Is [Not Removable] [and/or] [Eligible for Relief], and Because If Necessary the Fact of the </w:t>
      </w:r>
      <w:r w:rsidR="006F4BE5" w:rsidRPr="0079374E">
        <w:rPr>
          <w:b/>
          <w:i/>
          <w:iCs/>
        </w:rPr>
        <w:t>Minter</w:t>
      </w:r>
      <w:r w:rsidR="006F4BE5" w:rsidRPr="0079374E">
        <w:rPr>
          <w:b/>
        </w:rPr>
        <w:t xml:space="preserve"> Decision Will Be Proven at a Hearing [as Well as the Facts Established in the Relief Application and Evidence Attached to This Motion]</w:t>
      </w:r>
    </w:p>
    <w:p w14:paraId="6AE11D31" w14:textId="2DDB2215" w:rsidR="00184629" w:rsidRPr="0079374E"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25B63DF0" w14:textId="412E6A9C" w:rsidR="001660C8" w:rsidRPr="0079374E" w:rsidRDefault="006C2566" w:rsidP="002B1FA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79374E">
        <w:t xml:space="preserve">The Second Circuit’s decision in </w:t>
      </w:r>
      <w:r w:rsidRPr="0079374E">
        <w:rPr>
          <w:i/>
          <w:iCs/>
        </w:rPr>
        <w:t>Minter</w:t>
      </w:r>
      <w:r w:rsidRPr="0079374E">
        <w:t xml:space="preserve"> renders the New York statutory term </w:t>
      </w:r>
      <w:r w:rsidR="0082174E" w:rsidRPr="0079374E">
        <w:rPr>
          <w:b/>
          <w:bCs/>
        </w:rPr>
        <w:t xml:space="preserve">[“cocaine” or </w:t>
      </w:r>
      <w:r w:rsidRPr="0079374E">
        <w:rPr>
          <w:b/>
          <w:bCs/>
        </w:rPr>
        <w:t>“narcotic drug”</w:t>
      </w:r>
      <w:r w:rsidR="0082174E" w:rsidRPr="0079374E">
        <w:rPr>
          <w:b/>
          <w:bCs/>
        </w:rPr>
        <w:t>]</w:t>
      </w:r>
      <w:r w:rsidRPr="0079374E">
        <w:t xml:space="preserve"> categorically overbroad and indivisible as compared to the federal controlled substance schedules. The decision therefore corrects</w:t>
      </w:r>
      <w:r w:rsidR="006F4BE5" w:rsidRPr="0079374E">
        <w:t xml:space="preserve"> the errors of fact and law in</w:t>
      </w:r>
      <w:r w:rsidRPr="0079374E">
        <w:t xml:space="preserve"> the Board’s prior decision in Respondent’s case by clarifying that the </w:t>
      </w:r>
      <w:r w:rsidR="0082174E" w:rsidRPr="0079374E">
        <w:rPr>
          <w:b/>
          <w:bCs/>
        </w:rPr>
        <w:t xml:space="preserve">[“cocaine” or </w:t>
      </w:r>
      <w:r w:rsidRPr="0079374E">
        <w:rPr>
          <w:b/>
          <w:bCs/>
        </w:rPr>
        <w:t>“narcotic drug”</w:t>
      </w:r>
      <w:r w:rsidR="0082174E" w:rsidRPr="0079374E">
        <w:rPr>
          <w:b/>
          <w:bCs/>
        </w:rPr>
        <w:t>]</w:t>
      </w:r>
      <w:r w:rsidRPr="0079374E">
        <w:t xml:space="preserve"> statute of conviction in Respondent’s case is categorically not an aggravated felony or controlled substance offense.</w:t>
      </w:r>
    </w:p>
    <w:p w14:paraId="157C93BF" w14:textId="09643260" w:rsidR="00473B0D" w:rsidRPr="0079374E" w:rsidRDefault="006C2566" w:rsidP="002B1FA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79374E">
        <w:t xml:space="preserve">New York defines the term “narcotic drug” at NYPL § 220.00(7). The term “narcotic drug” is defined as “any controlled substance listed in schedule I(b), I(c), II(b), or II(c) other than </w:t>
      </w:r>
      <w:r w:rsidRPr="0079374E">
        <w:lastRenderedPageBreak/>
        <w:t xml:space="preserve">methadone” in New York’s controlled substance schedules. </w:t>
      </w:r>
      <w:r w:rsidRPr="0079374E">
        <w:rPr>
          <w:i/>
          <w:iCs/>
        </w:rPr>
        <w:t>Id.</w:t>
      </w:r>
      <w:r w:rsidRPr="0079374E">
        <w:t xml:space="preserve"> </w:t>
      </w:r>
      <w:r w:rsidR="00FE29B4" w:rsidRPr="0079374E">
        <w:t>(including cocaine at Schedule II(b)). New York law</w:t>
      </w:r>
      <w:r w:rsidRPr="0079374E">
        <w:t xml:space="preserve"> defines the statutory term “cocaine” </w:t>
      </w:r>
      <w:r w:rsidR="00FE29B4" w:rsidRPr="0079374E">
        <w:t>at</w:t>
      </w:r>
      <w:r w:rsidRPr="0079374E">
        <w:t xml:space="preserve"> N.Y. Pub. Health Law § 3306, Schedule II(b)(4). In </w:t>
      </w:r>
      <w:r w:rsidRPr="0079374E">
        <w:rPr>
          <w:i/>
          <w:iCs/>
        </w:rPr>
        <w:t>Minter</w:t>
      </w:r>
      <w:r w:rsidRPr="0079374E">
        <w:t>, the Second Circuit compared this definition of “cocaine</w:t>
      </w:r>
      <w:r w:rsidR="00FE29B4" w:rsidRPr="0079374E">
        <w:t>,</w:t>
      </w:r>
      <w:r w:rsidRPr="0079374E">
        <w:t xml:space="preserve">” </w:t>
      </w:r>
      <w:r w:rsidR="00FE29B4" w:rsidRPr="0079374E">
        <w:t xml:space="preserve">which has been in effect since </w:t>
      </w:r>
      <w:r w:rsidR="00694D11">
        <w:t xml:space="preserve">May 2, </w:t>
      </w:r>
      <w:r w:rsidR="00FE29B4" w:rsidRPr="0079374E">
        <w:t xml:space="preserve">1978, </w:t>
      </w:r>
      <w:r w:rsidRPr="0079374E">
        <w:t xml:space="preserve">against </w:t>
      </w:r>
      <w:r w:rsidR="00473B0D" w:rsidRPr="0079374E">
        <w:t>the definition of “cocaine” in the federal Controlled Substances Act</w:t>
      </w:r>
      <w:r w:rsidR="00694D11">
        <w:t xml:space="preserve"> (“CSA”)</w:t>
      </w:r>
      <w:r w:rsidR="00473B0D" w:rsidRPr="0079374E">
        <w:t xml:space="preserve"> and implementing regulations. </w:t>
      </w:r>
      <w:r w:rsidR="00473B0D" w:rsidRPr="0079374E">
        <w:rPr>
          <w:i/>
          <w:iCs/>
        </w:rPr>
        <w:t>See Minter</w:t>
      </w:r>
      <w:r w:rsidR="00473B0D" w:rsidRPr="0079374E">
        <w:t xml:space="preserve">, 2023 WL 5730084 at *3 (comparing N.Y. Pub. Health Law § 3306, Schedule II(b)(4), with the federal CSA, 21 C.F.R. § 1308.12(b)(4)). The court </w:t>
      </w:r>
      <w:r w:rsidR="00180F12" w:rsidRPr="0079374E">
        <w:t>held</w:t>
      </w:r>
      <w:r w:rsidR="00473B0D" w:rsidRPr="0079374E">
        <w:t xml:space="preserve"> that the “plain text of the two statutes thus compels the conclusion that New York’s definition of cocaine is categorically broader than the federal definition.” </w:t>
      </w:r>
      <w:r w:rsidR="00473B0D" w:rsidRPr="0079374E">
        <w:rPr>
          <w:i/>
          <w:iCs/>
        </w:rPr>
        <w:t>Minter</w:t>
      </w:r>
      <w:r w:rsidR="00473B0D" w:rsidRPr="0079374E">
        <w:t xml:space="preserve">, 2023 WL 5730084 at *4. </w:t>
      </w:r>
      <w:r w:rsidR="00180F12" w:rsidRPr="0079374E">
        <w:t xml:space="preserve">The court held that the “New York statute applies on its face to all cocaine isomers; the CSA does not.” </w:t>
      </w:r>
      <w:r w:rsidR="00180F12" w:rsidRPr="0079374E">
        <w:rPr>
          <w:i/>
          <w:iCs/>
        </w:rPr>
        <w:t>Id.</w:t>
      </w:r>
      <w:r w:rsidR="00180F12" w:rsidRPr="0079374E">
        <w:t xml:space="preserve"> at *5. The court concluded, “Because we hold that New York’s definition of cocaine is categorically broader than its federal counterpart” the prior cocaine conviction under NYPL § 220.39 (providing an NYPL provision for distribution of a “narcotic drug”) “is categorically broader than its federal counterpart” and therefore “cannot serve as a predicate </w:t>
      </w:r>
      <w:r w:rsidR="0068658D" w:rsidRPr="0079374E">
        <w:t>[Armed Career Criminal Act]</w:t>
      </w:r>
      <w:r w:rsidR="00180F12" w:rsidRPr="0079374E">
        <w:t xml:space="preserve"> offense.” </w:t>
      </w:r>
      <w:r w:rsidR="00180F12" w:rsidRPr="0079374E">
        <w:rPr>
          <w:i/>
          <w:iCs/>
        </w:rPr>
        <w:t>Id.</w:t>
      </w:r>
      <w:r w:rsidR="00180F12" w:rsidRPr="0079374E">
        <w:t xml:space="preserve"> at *1.</w:t>
      </w:r>
      <w:r w:rsidR="0068658D" w:rsidRPr="0079374E">
        <w:t xml:space="preserve"> The ACCA and INA both cross-reference the federal CSA. </w:t>
      </w:r>
      <w:r w:rsidR="0068658D" w:rsidRPr="0079374E">
        <w:rPr>
          <w:i/>
          <w:iCs/>
        </w:rPr>
        <w:t>Compare</w:t>
      </w:r>
      <w:r w:rsidR="0068658D" w:rsidRPr="0079374E">
        <w:t xml:space="preserve"> 18 U.S.C. § 924(e)(2)(A) (cross-referencing 21 U.S.C. § 802), </w:t>
      </w:r>
      <w:r w:rsidR="0068658D" w:rsidRPr="0079374E">
        <w:rPr>
          <w:i/>
          <w:iCs/>
        </w:rPr>
        <w:t>with</w:t>
      </w:r>
      <w:r w:rsidR="0068658D" w:rsidRPr="0079374E">
        <w:t xml:space="preserve"> INA §§ 212(a)(2)(A)(</w:t>
      </w:r>
      <w:proofErr w:type="spellStart"/>
      <w:r w:rsidR="0068658D" w:rsidRPr="0079374E">
        <w:t>i</w:t>
      </w:r>
      <w:proofErr w:type="spellEnd"/>
      <w:r w:rsidR="0068658D" w:rsidRPr="0079374E">
        <w:t>) (same), 237(a)(2)(B)(</w:t>
      </w:r>
      <w:proofErr w:type="spellStart"/>
      <w:r w:rsidR="0068658D" w:rsidRPr="0079374E">
        <w:t>i</w:t>
      </w:r>
      <w:proofErr w:type="spellEnd"/>
      <w:r w:rsidR="0068658D" w:rsidRPr="0079374E">
        <w:t xml:space="preserve">) (same), 101(a)(43)(B) (same)). Consequently, the New York definition of </w:t>
      </w:r>
      <w:r w:rsidR="00FE29B4" w:rsidRPr="0079374E">
        <w:rPr>
          <w:b/>
          <w:bCs/>
        </w:rPr>
        <w:t xml:space="preserve">[“cocaine” or </w:t>
      </w:r>
      <w:r w:rsidR="0068658D" w:rsidRPr="0079374E">
        <w:rPr>
          <w:b/>
          <w:bCs/>
        </w:rPr>
        <w:t>“narcotic drug”</w:t>
      </w:r>
      <w:r w:rsidR="00FE29B4" w:rsidRPr="0079374E">
        <w:rPr>
          <w:b/>
          <w:bCs/>
        </w:rPr>
        <w:t>]</w:t>
      </w:r>
      <w:r w:rsidR="0068658D" w:rsidRPr="0079374E">
        <w:t xml:space="preserve"> is categorically broader than </w:t>
      </w:r>
      <w:r w:rsidR="00FE29B4" w:rsidRPr="0079374E">
        <w:t xml:space="preserve">its definition under </w:t>
      </w:r>
      <w:r w:rsidR="0068658D" w:rsidRPr="0079374E">
        <w:t>both the ACCA and the INA.</w:t>
      </w:r>
      <w:r w:rsidR="00B73A66" w:rsidRPr="0079374E">
        <w:t xml:space="preserve"> </w:t>
      </w:r>
      <w:r w:rsidR="00B73A66" w:rsidRPr="0079374E">
        <w:rPr>
          <w:i/>
          <w:iCs/>
        </w:rPr>
        <w:t>See also, e.g.</w:t>
      </w:r>
      <w:r w:rsidR="00B73A66" w:rsidRPr="0079374E">
        <w:t xml:space="preserve">, </w:t>
      </w:r>
      <w:r w:rsidR="00B73A66" w:rsidRPr="0079374E">
        <w:rPr>
          <w:i/>
          <w:iCs/>
        </w:rPr>
        <w:t>United States v. Myers</w:t>
      </w:r>
      <w:r w:rsidR="00B73A66" w:rsidRPr="0079374E">
        <w:t xml:space="preserve">, 56 F.4th 595, 599 (8th Cir. 2022) (holding that Missouri’s definition of cocaine, which does not define “isomer,” is not a serious drug offense under the ACCA); </w:t>
      </w:r>
      <w:r w:rsidR="00B73A66" w:rsidRPr="0079374E">
        <w:rPr>
          <w:i/>
          <w:iCs/>
        </w:rPr>
        <w:t>United States v. Owen</w:t>
      </w:r>
      <w:r w:rsidR="00B73A66" w:rsidRPr="0079374E">
        <w:t xml:space="preserve">, 51 F.4th 292 (8th Cir. 2022) (same, with respect to Minnesota); </w:t>
      </w:r>
      <w:r w:rsidR="00B73A66" w:rsidRPr="0079374E">
        <w:rPr>
          <w:i/>
          <w:iCs/>
        </w:rPr>
        <w:t>United States v. Ruth</w:t>
      </w:r>
      <w:r w:rsidR="00B73A66" w:rsidRPr="0079374E">
        <w:t xml:space="preserve">, 966 F.3d 642, 648 (7th Cir. 2020) (holding that the Illinois definition of cocaine, which includes positional isomers, rendered its controlled substances law overbroad compared to </w:t>
      </w:r>
      <w:r w:rsidR="00B73A66" w:rsidRPr="0079374E">
        <w:lastRenderedPageBreak/>
        <w:t>the CSA)</w:t>
      </w:r>
      <w:r w:rsidR="00D37941" w:rsidRPr="0079374E">
        <w:t xml:space="preserve">; </w:t>
      </w:r>
      <w:r w:rsidR="00D37941" w:rsidRPr="0079374E">
        <w:rPr>
          <w:i/>
        </w:rPr>
        <w:t>United States v. Fernandez-Taveras</w:t>
      </w:r>
      <w:r w:rsidR="00D37941" w:rsidRPr="0079374E">
        <w:t xml:space="preserve">, 511 F. Supp. 3d 367 (E.D.N.Y. 2021); </w:t>
      </w:r>
      <w:r w:rsidR="00D37941" w:rsidRPr="0079374E">
        <w:rPr>
          <w:i/>
        </w:rPr>
        <w:t>United States v. Gutierrez-Campos</w:t>
      </w:r>
      <w:r w:rsidR="00D37941" w:rsidRPr="0079374E">
        <w:t xml:space="preserve">, No. 21-CR-40 (JPC), 2022 WL 281582 (S.D.N.Y. Jan. 31, 2022); </w:t>
      </w:r>
      <w:r w:rsidR="00D37941" w:rsidRPr="0079374E">
        <w:rPr>
          <w:i/>
        </w:rPr>
        <w:t>United States v. Holmes</w:t>
      </w:r>
      <w:r w:rsidR="00D37941" w:rsidRPr="0079374E">
        <w:t xml:space="preserve">, No. 21-CR-147 (NGG), 2022 WL 1036631 (E.D.N.Y. Apr. 6, 2022); Sentencing Tr., </w:t>
      </w:r>
      <w:r w:rsidR="00D37941" w:rsidRPr="0079374E">
        <w:rPr>
          <w:i/>
        </w:rPr>
        <w:t>United States v. Ferrer</w:t>
      </w:r>
      <w:r w:rsidR="00D37941" w:rsidRPr="0079374E">
        <w:t xml:space="preserve">, No. 20-CR-650, ECF No. 25 at 45-6 (S.D.N.Y. July 21, 2021); Sentencing Tr., </w:t>
      </w:r>
      <w:r w:rsidR="00D37941" w:rsidRPr="0079374E">
        <w:rPr>
          <w:i/>
        </w:rPr>
        <w:t>United States v. Baez-Medina</w:t>
      </w:r>
      <w:r w:rsidR="00D37941" w:rsidRPr="0079374E">
        <w:t xml:space="preserve">, No. 20-CR-24 (JGK), ECF No. 50 at 6-11 (S.D.N.Y. July 1, 2021); Sentencing Tr., </w:t>
      </w:r>
      <w:r w:rsidR="00D37941" w:rsidRPr="0079374E">
        <w:rPr>
          <w:i/>
        </w:rPr>
        <w:t xml:space="preserve">United States v. </w:t>
      </w:r>
      <w:proofErr w:type="spellStart"/>
      <w:r w:rsidR="00D37941" w:rsidRPr="0079374E">
        <w:rPr>
          <w:i/>
        </w:rPr>
        <w:t>Louissaint</w:t>
      </w:r>
      <w:proofErr w:type="spellEnd"/>
      <w:r w:rsidR="00D37941" w:rsidRPr="0079374E">
        <w:t xml:space="preserve">, No. 20-CR-685 (PKC), ECF No. 35 at 9-26 (S.D.N.Y. Nov. 17, 2021); Sentencing Tr., </w:t>
      </w:r>
      <w:r w:rsidR="00D37941" w:rsidRPr="0079374E">
        <w:rPr>
          <w:i/>
        </w:rPr>
        <w:t>United States v. Simmons</w:t>
      </w:r>
      <w:r w:rsidR="00D37941" w:rsidRPr="0079374E">
        <w:t xml:space="preserve">, No. 20- CR-294 (PKC), ECF No. 43 at 6-7 (S.D.N.Y. Dec. 14, 2021). In addition, at least three New York Immigration Judges and one additional BIA panel have found New York’s definition of cocaine categorically broader than the federal CSA because it includes isomers that are not covered by the federal CSA. </w:t>
      </w:r>
      <w:r w:rsidR="00D37941" w:rsidRPr="0079374E">
        <w:rPr>
          <w:i/>
        </w:rPr>
        <w:t>See, e.g.</w:t>
      </w:r>
      <w:r w:rsidR="00D37941" w:rsidRPr="0079374E">
        <w:t>,</w:t>
      </w:r>
      <w:r w:rsidR="00D37941" w:rsidRPr="0079374E">
        <w:rPr>
          <w:i/>
          <w:iCs/>
        </w:rPr>
        <w:t xml:space="preserve"> B-P-</w:t>
      </w:r>
      <w:r w:rsidR="00D37941" w:rsidRPr="0079374E">
        <w:t xml:space="preserve">, AXXX-XXX-XXX (BIA July 24, 2023), </w:t>
      </w:r>
      <w:r w:rsidR="00D37941" w:rsidRPr="0079374E">
        <w:rPr>
          <w:i/>
          <w:iCs/>
        </w:rPr>
        <w:t>available at</w:t>
      </w:r>
      <w:r w:rsidR="00D37941" w:rsidRPr="0079374E">
        <w:t xml:space="preserve"> https://www.immigrantdefenseproject.org/wp-content/uploads/BIA-Remand-Order-1_Redacted.pdf; </w:t>
      </w:r>
      <w:r w:rsidR="00D37941" w:rsidRPr="0079374E">
        <w:rPr>
          <w:i/>
        </w:rPr>
        <w:t>X-X-X-</w:t>
      </w:r>
      <w:r w:rsidR="00D37941" w:rsidRPr="0079374E">
        <w:t xml:space="preserve">, AXXX-XXX-976 (BIA Aug. 16, 2023), </w:t>
      </w:r>
      <w:r w:rsidR="00D37941" w:rsidRPr="0079374E">
        <w:rPr>
          <w:i/>
          <w:iCs/>
        </w:rPr>
        <w:t xml:space="preserve">available at </w:t>
      </w:r>
      <w:hyperlink r:id="rId14" w:history="1">
        <w:r w:rsidR="00D37941" w:rsidRPr="0079374E">
          <w:rPr>
            <w:rStyle w:val="Hyperlink"/>
          </w:rPr>
          <w:t>https://www</w:t>
        </w:r>
      </w:hyperlink>
      <w:proofErr w:type="gramStart"/>
      <w:r w:rsidR="00D37941" w:rsidRPr="0079374E">
        <w:t>.immigrantdefenseproject.org/wp-content/uploads/2023.08.16-BIA-Decision-Redacted-2.pdf ;</w:t>
      </w:r>
      <w:proofErr w:type="gramEnd"/>
      <w:r w:rsidR="00D37941" w:rsidRPr="0079374E">
        <w:t xml:space="preserve"> Decision of IJ Alice Segal (N.Y. </w:t>
      </w:r>
      <w:proofErr w:type="spellStart"/>
      <w:r w:rsidR="00D37941" w:rsidRPr="0079374E">
        <w:t>Imm</w:t>
      </w:r>
      <w:proofErr w:type="spellEnd"/>
      <w:r w:rsidR="00D37941" w:rsidRPr="0079374E">
        <w:t xml:space="preserve">. Ct. Dec. 1, 2021), </w:t>
      </w:r>
      <w:r w:rsidR="00D37941" w:rsidRPr="0079374E">
        <w:rPr>
          <w:i/>
          <w:iCs/>
        </w:rPr>
        <w:t>available at</w:t>
      </w:r>
      <w:r w:rsidR="00D37941" w:rsidRPr="0079374E">
        <w:t xml:space="preserve"> </w:t>
      </w:r>
      <w:hyperlink r:id="rId15" w:history="1">
        <w:r w:rsidR="00D37941" w:rsidRPr="0079374E">
          <w:rPr>
            <w:rStyle w:val="Hyperlink"/>
          </w:rPr>
          <w:t>https://www</w:t>
        </w:r>
      </w:hyperlink>
      <w:r w:rsidR="00D37941" w:rsidRPr="0079374E">
        <w:t xml:space="preserve">.immigrantdefenseproject.org/wp-content/uploads/IJ-Segal_12.1.21.pdf; Decision of IJ Margaret Kolbe (N.Y. </w:t>
      </w:r>
      <w:proofErr w:type="spellStart"/>
      <w:r w:rsidR="00D37941" w:rsidRPr="0079374E">
        <w:t>Imm</w:t>
      </w:r>
      <w:proofErr w:type="spellEnd"/>
      <w:r w:rsidR="00D37941" w:rsidRPr="0079374E">
        <w:t xml:space="preserve">. Ct. Dec. 7, 2021), </w:t>
      </w:r>
      <w:r w:rsidR="00D37941" w:rsidRPr="0079374E">
        <w:rPr>
          <w:i/>
          <w:iCs/>
        </w:rPr>
        <w:t>available at</w:t>
      </w:r>
      <w:r w:rsidR="00D37941" w:rsidRPr="0079374E">
        <w:t xml:space="preserve"> </w:t>
      </w:r>
      <w:hyperlink r:id="rId16" w:history="1">
        <w:r w:rsidR="00D37941" w:rsidRPr="0079374E">
          <w:rPr>
            <w:rStyle w:val="Hyperlink"/>
          </w:rPr>
          <w:t>https://www</w:t>
        </w:r>
      </w:hyperlink>
      <w:r w:rsidR="00D37941" w:rsidRPr="0079374E">
        <w:t xml:space="preserve">.immigrantdefenseproject.org/wp-content/uploads/IJ-Kolbe_12.7.21.pdf; Decision of IJ Douglas </w:t>
      </w:r>
      <w:proofErr w:type="spellStart"/>
      <w:r w:rsidR="00D37941" w:rsidRPr="0079374E">
        <w:t>Schoppert</w:t>
      </w:r>
      <w:proofErr w:type="spellEnd"/>
      <w:r w:rsidR="00D37941" w:rsidRPr="0079374E">
        <w:t xml:space="preserve"> (N.Y. </w:t>
      </w:r>
      <w:proofErr w:type="spellStart"/>
      <w:r w:rsidR="00D37941" w:rsidRPr="0079374E">
        <w:t>Imm</w:t>
      </w:r>
      <w:proofErr w:type="spellEnd"/>
      <w:r w:rsidR="00D37941" w:rsidRPr="0079374E">
        <w:t xml:space="preserve">. Ct. Aug. 13, 2020), </w:t>
      </w:r>
      <w:r w:rsidR="00D37941" w:rsidRPr="0079374E">
        <w:rPr>
          <w:i/>
          <w:iCs/>
        </w:rPr>
        <w:t>available at</w:t>
      </w:r>
      <w:r w:rsidR="00D37941" w:rsidRPr="0079374E">
        <w:t xml:space="preserve"> </w:t>
      </w:r>
      <w:hyperlink r:id="rId17" w:history="1">
        <w:r w:rsidR="00D37941" w:rsidRPr="0079374E">
          <w:rPr>
            <w:rStyle w:val="Hyperlink"/>
          </w:rPr>
          <w:t>https://www</w:t>
        </w:r>
      </w:hyperlink>
      <w:r w:rsidR="00D37941" w:rsidRPr="0079374E">
        <w:t>.immigrantdefenseproject.org/wp-content/uploads/IJ-Schoppert_8.13.20.pdf.</w:t>
      </w:r>
    </w:p>
    <w:p w14:paraId="2F2F33FF" w14:textId="63ED339C" w:rsidR="0068658D" w:rsidRPr="0079374E" w:rsidRDefault="00FE29B4" w:rsidP="001643A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b/>
          <w:bCs/>
        </w:rPr>
      </w:pPr>
      <w:r w:rsidRPr="0079374E">
        <w:rPr>
          <w:b/>
          <w:bCs/>
        </w:rPr>
        <w:t>[</w:t>
      </w:r>
      <w:r w:rsidR="00A1149D" w:rsidRPr="0079374E">
        <w:rPr>
          <w:b/>
          <w:bCs/>
        </w:rPr>
        <w:t>IF CONVICTION IS UNDER “NARCOTIC DRUG” PROVISION, ADD:</w:t>
      </w:r>
      <w:r w:rsidRPr="0079374E">
        <w:t xml:space="preserve"> </w:t>
      </w:r>
      <w:r w:rsidR="002C0DA4" w:rsidRPr="0079374E">
        <w:t xml:space="preserve">Under Second Circuit precedent, the New York term “narcotic drug” is indivisible. </w:t>
      </w:r>
      <w:r w:rsidR="002C0DA4" w:rsidRPr="0079374E">
        <w:rPr>
          <w:i/>
          <w:iCs/>
        </w:rPr>
        <w:t xml:space="preserve">See </w:t>
      </w:r>
      <w:r w:rsidR="0068658D" w:rsidRPr="0079374E">
        <w:rPr>
          <w:i/>
          <w:iCs/>
        </w:rPr>
        <w:t>Harbin v. Sessions</w:t>
      </w:r>
      <w:r w:rsidR="0068658D" w:rsidRPr="0079374E">
        <w:t>,</w:t>
      </w:r>
      <w:r w:rsidR="0068658D" w:rsidRPr="0079374E">
        <w:rPr>
          <w:i/>
          <w:iCs/>
        </w:rPr>
        <w:t xml:space="preserve"> </w:t>
      </w:r>
      <w:r w:rsidR="0068658D" w:rsidRPr="0079374E">
        <w:t>860 F.3d 58 (2d. Cir. 2017)</w:t>
      </w:r>
      <w:r w:rsidR="002C0DA4" w:rsidRPr="0079374E">
        <w:t xml:space="preserve">. In </w:t>
      </w:r>
      <w:r w:rsidR="002C0DA4" w:rsidRPr="0079374E">
        <w:rPr>
          <w:i/>
          <w:iCs/>
        </w:rPr>
        <w:t>Harbin</w:t>
      </w:r>
      <w:r w:rsidR="002C0DA4" w:rsidRPr="0079374E">
        <w:t xml:space="preserve">, the Second Circuit considered the divisibility </w:t>
      </w:r>
      <w:r w:rsidR="002C0DA4" w:rsidRPr="0079374E">
        <w:lastRenderedPageBreak/>
        <w:t>of New York’s controlled substance statutes. In that case, the court specifically considered divisibility of the statutory term “controlled substance” at NYPL § 220.00(</w:t>
      </w:r>
      <w:r w:rsidR="00F63495" w:rsidRPr="0079374E">
        <w:t xml:space="preserve">5). </w:t>
      </w:r>
      <w:r w:rsidR="00F63495" w:rsidRPr="0079374E">
        <w:rPr>
          <w:i/>
          <w:iCs/>
        </w:rPr>
        <w:t>See Harbin</w:t>
      </w:r>
      <w:r w:rsidR="00F63495" w:rsidRPr="0079374E">
        <w:t xml:space="preserve">, 860 F.3d at 64. Like the term “narcotic drug” at issue in </w:t>
      </w:r>
      <w:r w:rsidR="00F63495" w:rsidRPr="0079374E">
        <w:rPr>
          <w:i/>
          <w:iCs/>
        </w:rPr>
        <w:t>Minter</w:t>
      </w:r>
      <w:r w:rsidR="00F63495" w:rsidRPr="0079374E">
        <w:t xml:space="preserve">, the term “controlled substance” in </w:t>
      </w:r>
      <w:r w:rsidR="00F63495" w:rsidRPr="0079374E">
        <w:rPr>
          <w:i/>
          <w:iCs/>
        </w:rPr>
        <w:t>Harbin</w:t>
      </w:r>
      <w:r w:rsidR="00F63495" w:rsidRPr="0079374E">
        <w:t xml:space="preserve"> cross-references New York’s drug schedules; the “narcotic drug” term cross-references a slightly smaller subsection of the schedules than the “controlled substance” term.” </w:t>
      </w:r>
      <w:r w:rsidR="00F63495" w:rsidRPr="0079374E">
        <w:rPr>
          <w:i/>
          <w:iCs/>
        </w:rPr>
        <w:t>Compare</w:t>
      </w:r>
      <w:r w:rsidR="00F63495" w:rsidRPr="0079374E">
        <w:t xml:space="preserve"> NYPL § 220.00(5) (cross-referencing schedules I, II, III, IV, V), </w:t>
      </w:r>
      <w:r w:rsidR="00F63495" w:rsidRPr="0079374E">
        <w:rPr>
          <w:i/>
          <w:iCs/>
        </w:rPr>
        <w:t>with</w:t>
      </w:r>
      <w:r w:rsidR="00F63495" w:rsidRPr="0079374E">
        <w:t xml:space="preserve"> NYPL § 220.00(7) (cross-referencing schedules I(b), I(c), II(b), or II(c) other than methadone). Reviewing the text of New York’s statutory law, New York’s state court decisions, and New York’s jury instructions, </w:t>
      </w:r>
      <w:r w:rsidR="001643A8" w:rsidRPr="0079374E">
        <w:t xml:space="preserve">the court concluded that New York’s “controlled substance” definition </w:t>
      </w:r>
      <w:r w:rsidR="00D37941" w:rsidRPr="0079374E">
        <w:t>I</w:t>
      </w:r>
      <w:r w:rsidR="001643A8" w:rsidRPr="0079374E">
        <w:t xml:space="preserve">s indivisible. </w:t>
      </w:r>
      <w:r w:rsidR="001643A8" w:rsidRPr="0079374E">
        <w:rPr>
          <w:i/>
          <w:iCs/>
        </w:rPr>
        <w:t>See Harbin</w:t>
      </w:r>
      <w:r w:rsidR="001643A8" w:rsidRPr="0079374E">
        <w:t xml:space="preserve">, 860 F.3d at 68. The decision in </w:t>
      </w:r>
      <w:r w:rsidR="001643A8" w:rsidRPr="0079374E">
        <w:rPr>
          <w:i/>
          <w:iCs/>
        </w:rPr>
        <w:t>Harbin</w:t>
      </w:r>
      <w:r w:rsidR="001643A8" w:rsidRPr="0079374E">
        <w:t xml:space="preserve"> clearly renders the “narcotic drug” term indivisible as well. The text of the statutes in </w:t>
      </w:r>
      <w:r w:rsidR="001643A8" w:rsidRPr="0079374E">
        <w:rPr>
          <w:i/>
          <w:iCs/>
        </w:rPr>
        <w:t>Harbin</w:t>
      </w:r>
      <w:r w:rsidR="001643A8" w:rsidRPr="0079374E">
        <w:t xml:space="preserve"> and </w:t>
      </w:r>
      <w:r w:rsidR="001643A8" w:rsidRPr="0079374E">
        <w:rPr>
          <w:i/>
          <w:iCs/>
        </w:rPr>
        <w:t>Minter</w:t>
      </w:r>
      <w:r w:rsidR="001643A8" w:rsidRPr="0079374E">
        <w:t xml:space="preserve"> are structured almost identically. </w:t>
      </w:r>
      <w:r w:rsidR="001643A8" w:rsidRPr="0079374E">
        <w:rPr>
          <w:i/>
          <w:iCs/>
        </w:rPr>
        <w:t>See Harbin</w:t>
      </w:r>
      <w:r w:rsidR="001643A8" w:rsidRPr="0079374E">
        <w:t xml:space="preserve">, 860 F.3d at 65; </w:t>
      </w:r>
      <w:r w:rsidR="001643A8" w:rsidRPr="0079374E">
        <w:rPr>
          <w:i/>
          <w:iCs/>
        </w:rPr>
        <w:t>Minter</w:t>
      </w:r>
      <w:r w:rsidR="001643A8" w:rsidRPr="0079374E">
        <w:t xml:space="preserve">, 2023 WL 5730084 at *3. The decision in </w:t>
      </w:r>
      <w:r w:rsidR="001643A8" w:rsidRPr="0079374E">
        <w:rPr>
          <w:i/>
          <w:iCs/>
        </w:rPr>
        <w:t>Harbin</w:t>
      </w:r>
      <w:r w:rsidR="001643A8" w:rsidRPr="0079374E">
        <w:t xml:space="preserve"> rests partially on multiple New York State court decisions interpreting the “narcotic drug” term. </w:t>
      </w:r>
      <w:r w:rsidR="001643A8" w:rsidRPr="0079374E">
        <w:rPr>
          <w:i/>
          <w:iCs/>
        </w:rPr>
        <w:t>See Harbin</w:t>
      </w:r>
      <w:r w:rsidR="001643A8" w:rsidRPr="0079374E">
        <w:t xml:space="preserve">, 860 F.3d at </w:t>
      </w:r>
      <w:r w:rsidR="0068658D" w:rsidRPr="0079374E">
        <w:t>67</w:t>
      </w:r>
      <w:r w:rsidR="001643A8" w:rsidRPr="0079374E">
        <w:t xml:space="preserve"> (citing and discussing </w:t>
      </w:r>
      <w:r w:rsidR="001643A8" w:rsidRPr="0079374E">
        <w:rPr>
          <w:i/>
          <w:iCs/>
        </w:rPr>
        <w:t>People v. Miller</w:t>
      </w:r>
      <w:r w:rsidR="001643A8" w:rsidRPr="0079374E">
        <w:t>, 15 A.D.3d 265 (1</w:t>
      </w:r>
      <w:r w:rsidR="001643A8" w:rsidRPr="0079374E">
        <w:rPr>
          <w:vertAlign w:val="superscript"/>
        </w:rPr>
        <w:t>st</w:t>
      </w:r>
      <w:r w:rsidR="001643A8" w:rsidRPr="0079374E">
        <w:t xml:space="preserve"> </w:t>
      </w:r>
      <w:proofErr w:type="spellStart"/>
      <w:r w:rsidR="001643A8" w:rsidRPr="0079374E">
        <w:t>Dep’t</w:t>
      </w:r>
      <w:proofErr w:type="spellEnd"/>
      <w:r w:rsidR="001643A8" w:rsidRPr="0079374E">
        <w:t xml:space="preserve"> 2005); </w:t>
      </w:r>
      <w:r w:rsidR="001643A8" w:rsidRPr="0079374E">
        <w:rPr>
          <w:i/>
          <w:iCs/>
        </w:rPr>
        <w:t>People v. Martin</w:t>
      </w:r>
      <w:r w:rsidR="001643A8" w:rsidRPr="0079374E">
        <w:t>, 153 A.D.2d 807 (1</w:t>
      </w:r>
      <w:r w:rsidR="001643A8" w:rsidRPr="0079374E">
        <w:rPr>
          <w:vertAlign w:val="superscript"/>
        </w:rPr>
        <w:t>st</w:t>
      </w:r>
      <w:r w:rsidR="001643A8" w:rsidRPr="0079374E">
        <w:t xml:space="preserve"> </w:t>
      </w:r>
      <w:proofErr w:type="spellStart"/>
      <w:r w:rsidR="001643A8" w:rsidRPr="0079374E">
        <w:t>Dep’t</w:t>
      </w:r>
      <w:proofErr w:type="spellEnd"/>
      <w:r w:rsidR="001643A8" w:rsidRPr="0079374E">
        <w:t xml:space="preserve"> 1989)). Finally, the jury instructions governing “controlled substance” cases are virtually, and in all relevant ways, identical to the jury instructions governing “narcotic drug” cases. </w:t>
      </w:r>
      <w:r w:rsidR="001643A8" w:rsidRPr="0079374E">
        <w:rPr>
          <w:i/>
          <w:iCs/>
        </w:rPr>
        <w:t>See</w:t>
      </w:r>
      <w:r w:rsidR="001643A8" w:rsidRPr="0079374E">
        <w:t xml:space="preserve"> New York State Unified Court System, Criminal Jury Instructions &amp; Model Colloquies, Penal Law § 220.31, </w:t>
      </w:r>
      <w:r w:rsidR="001643A8" w:rsidRPr="0079374E">
        <w:rPr>
          <w:i/>
          <w:iCs/>
        </w:rPr>
        <w:t>available at</w:t>
      </w:r>
      <w:r w:rsidR="001643A8" w:rsidRPr="0079374E">
        <w:t xml:space="preserve"> </w:t>
      </w:r>
      <w:hyperlink r:id="rId18" w:history="1">
        <w:r w:rsidR="001643A8" w:rsidRPr="0079374E">
          <w:rPr>
            <w:rStyle w:val="Hyperlink"/>
          </w:rPr>
          <w:t>https://www.nycourts.gov/judges/cji/2-PenalLaw/220/art220hp.shtml</w:t>
        </w:r>
      </w:hyperlink>
      <w:r w:rsidR="001643A8" w:rsidRPr="0079374E">
        <w:t xml:space="preserve">; New York State Unified Court System, Criminal Jury Instructions &amp; Model Colloquies, Penal Law § 220.39(1), </w:t>
      </w:r>
      <w:r w:rsidR="001643A8" w:rsidRPr="0079374E">
        <w:rPr>
          <w:i/>
          <w:iCs/>
        </w:rPr>
        <w:t>available at</w:t>
      </w:r>
      <w:r w:rsidR="001643A8" w:rsidRPr="0079374E">
        <w:t xml:space="preserve"> </w:t>
      </w:r>
      <w:hyperlink r:id="rId19" w:history="1">
        <w:r w:rsidR="00AA6572" w:rsidRPr="0079374E">
          <w:rPr>
            <w:rStyle w:val="Hyperlink"/>
          </w:rPr>
          <w:t>https://www.nycourts.gov/judges/cji/2-PenalLaw/220/220-39%281%29.pdf</w:t>
        </w:r>
      </w:hyperlink>
      <w:r w:rsidR="001643A8" w:rsidRPr="0079374E">
        <w:t>.</w:t>
      </w:r>
      <w:r w:rsidR="0076129B">
        <w:t xml:space="preserve"> </w:t>
      </w:r>
      <w:r w:rsidR="0076129B" w:rsidRPr="0076129B">
        <w:t xml:space="preserve">Indeed, when the Second Circuit earlier this year ruled on another New York “narcotic drug” overbreadth issue, the court held that the New York narcotic drug offense at issue in that case was categorically </w:t>
      </w:r>
      <w:r w:rsidR="0076129B" w:rsidRPr="0076129B">
        <w:lastRenderedPageBreak/>
        <w:t xml:space="preserve">overbroad assuming indivisibility of such a New York “narcotic drug” offense. </w:t>
      </w:r>
      <w:r w:rsidR="0076129B" w:rsidRPr="0076129B">
        <w:rPr>
          <w:i/>
          <w:iCs/>
        </w:rPr>
        <w:t>See United States v. Gibson</w:t>
      </w:r>
      <w:r w:rsidR="0076129B" w:rsidRPr="0076129B">
        <w:t>,</w:t>
      </w:r>
      <w:r w:rsidR="0076129B" w:rsidRPr="0076129B">
        <w:rPr>
          <w:i/>
          <w:iCs/>
        </w:rPr>
        <w:t xml:space="preserve"> </w:t>
      </w:r>
      <w:r w:rsidR="0076129B" w:rsidRPr="0076129B">
        <w:t>60 F.4th 720 (2d Cir. 2023) and earlier opinion in the case at 55 F.4th 153 (2d Cir. 2022).</w:t>
      </w:r>
      <w:r w:rsidRPr="0079374E">
        <w:rPr>
          <w:b/>
          <w:bCs/>
        </w:rPr>
        <w:t>]</w:t>
      </w:r>
      <w:r w:rsidRPr="0076129B">
        <w:t>.</w:t>
      </w:r>
    </w:p>
    <w:p w14:paraId="25D68D27" w14:textId="1C8167E3" w:rsidR="003442E2" w:rsidRPr="0079374E" w:rsidRDefault="003442E2" w:rsidP="003442E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79374E">
        <w:rPr>
          <w:b/>
          <w:bCs/>
        </w:rPr>
        <w:t>[IF</w:t>
      </w:r>
      <w:r w:rsidR="00A1149D" w:rsidRPr="0079374E">
        <w:rPr>
          <w:b/>
          <w:bCs/>
        </w:rPr>
        <w:t xml:space="preserve"> CONVICTION IS UNDER</w:t>
      </w:r>
      <w:r w:rsidRPr="0079374E">
        <w:rPr>
          <w:b/>
          <w:bCs/>
        </w:rPr>
        <w:t xml:space="preserve"> “NARCOTIC DRUG” </w:t>
      </w:r>
      <w:r w:rsidR="00A1149D" w:rsidRPr="0079374E">
        <w:rPr>
          <w:b/>
          <w:bCs/>
        </w:rPr>
        <w:t>PROVISION AND</w:t>
      </w:r>
      <w:r w:rsidRPr="0079374E">
        <w:rPr>
          <w:b/>
          <w:bCs/>
        </w:rPr>
        <w:t xml:space="preserve"> RECORD OF CONVICTION INDICATES COCAINE</w:t>
      </w:r>
      <w:r w:rsidR="00A1149D" w:rsidRPr="0079374E">
        <w:rPr>
          <w:b/>
          <w:bCs/>
        </w:rPr>
        <w:t>, ADD</w:t>
      </w:r>
      <w:r w:rsidRPr="0079374E">
        <w:t xml:space="preserve">: In any event, in this case, as in the </w:t>
      </w:r>
      <w:r w:rsidRPr="0079374E">
        <w:rPr>
          <w:i/>
          <w:iCs/>
        </w:rPr>
        <w:t xml:space="preserve">Minter </w:t>
      </w:r>
      <w:r w:rsidRPr="0079374E">
        <w:t>case, the record of conviction shows that the “narcotic drug” at issue was cocaine.</w:t>
      </w:r>
      <w:r w:rsidR="00A1149D" w:rsidRPr="0079374E">
        <w:t xml:space="preserve"> </w:t>
      </w:r>
      <w:r w:rsidR="00A1149D" w:rsidRPr="0079374E">
        <w:rPr>
          <w:i/>
          <w:iCs/>
        </w:rPr>
        <w:t>SEE</w:t>
      </w:r>
      <w:r w:rsidRPr="0079374E">
        <w:t xml:space="preserve"> </w:t>
      </w:r>
      <w:r w:rsidRPr="0079374E">
        <w:rPr>
          <w:b/>
          <w:bCs/>
        </w:rPr>
        <w:t>[</w:t>
      </w:r>
      <w:r w:rsidR="00A1149D" w:rsidRPr="0079374E">
        <w:rPr>
          <w:b/>
          <w:bCs/>
        </w:rPr>
        <w:t>ADD</w:t>
      </w:r>
      <w:r w:rsidRPr="0079374E">
        <w:rPr>
          <w:b/>
          <w:bCs/>
        </w:rPr>
        <w:t xml:space="preserve"> CITES TO RECORD OF CONVICTION]</w:t>
      </w:r>
      <w:r w:rsidR="00A1149D" w:rsidRPr="0079374E">
        <w:t xml:space="preserve">. Consequently, as in </w:t>
      </w:r>
      <w:r w:rsidR="00A1149D" w:rsidRPr="0079374E">
        <w:rPr>
          <w:i/>
          <w:iCs/>
        </w:rPr>
        <w:t>Minter</w:t>
      </w:r>
      <w:r w:rsidR="00A1149D" w:rsidRPr="0079374E">
        <w:t>, Respondent’s “cocaine” conviction is categorically broader than the federal CSA and therefore not an aggravated felony or offense relating to a controlled substance.</w:t>
      </w:r>
      <w:r w:rsidR="00A1149D" w:rsidRPr="0079374E">
        <w:rPr>
          <w:b/>
          <w:bCs/>
        </w:rPr>
        <w:t>]</w:t>
      </w:r>
      <w:r w:rsidRPr="0079374E">
        <w:t>.</w:t>
      </w:r>
    </w:p>
    <w:p w14:paraId="6DA9CA63" w14:textId="2021F164" w:rsidR="00B72BA4" w:rsidRPr="0079374E" w:rsidRDefault="00B72BA4" w:rsidP="001643A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b/>
          <w:bCs/>
        </w:rPr>
      </w:pPr>
      <w:r w:rsidRPr="0079374E">
        <w:rPr>
          <w:b/>
          <w:bCs/>
        </w:rPr>
        <w:t>[IF</w:t>
      </w:r>
      <w:r w:rsidR="00A1149D" w:rsidRPr="0079374E">
        <w:rPr>
          <w:b/>
          <w:bCs/>
        </w:rPr>
        <w:t xml:space="preserve"> CONVICTION IS</w:t>
      </w:r>
      <w:r w:rsidRPr="0079374E">
        <w:rPr>
          <w:b/>
          <w:bCs/>
        </w:rPr>
        <w:t xml:space="preserve"> </w:t>
      </w:r>
      <w:r w:rsidR="003442E2" w:rsidRPr="0079374E">
        <w:rPr>
          <w:b/>
          <w:bCs/>
        </w:rPr>
        <w:t>POST-</w:t>
      </w:r>
      <w:r w:rsidR="00061E2D" w:rsidRPr="0079374E">
        <w:rPr>
          <w:b/>
          <w:bCs/>
        </w:rPr>
        <w:t>JANUARY-23-</w:t>
      </w:r>
      <w:r w:rsidR="003442E2" w:rsidRPr="0079374E">
        <w:rPr>
          <w:b/>
          <w:bCs/>
        </w:rPr>
        <w:t>2015</w:t>
      </w:r>
      <w:r w:rsidR="00A1149D" w:rsidRPr="0079374E">
        <w:rPr>
          <w:b/>
          <w:bCs/>
        </w:rPr>
        <w:t xml:space="preserve"> UNDER</w:t>
      </w:r>
      <w:r w:rsidR="003442E2" w:rsidRPr="0079374E">
        <w:rPr>
          <w:b/>
          <w:bCs/>
        </w:rPr>
        <w:t xml:space="preserve"> </w:t>
      </w:r>
      <w:r w:rsidRPr="0079374E">
        <w:rPr>
          <w:b/>
          <w:bCs/>
        </w:rPr>
        <w:t xml:space="preserve">“NARCOTIC DRUG” </w:t>
      </w:r>
      <w:r w:rsidR="00A1149D" w:rsidRPr="0079374E">
        <w:rPr>
          <w:b/>
          <w:bCs/>
        </w:rPr>
        <w:t>PROVISION, ADD</w:t>
      </w:r>
      <w:r w:rsidRPr="0079374E">
        <w:t>:</w:t>
      </w:r>
      <w:r w:rsidR="00A1149D" w:rsidRPr="0079374E">
        <w:t xml:space="preserve"> In addition, under the Second Circuit’s precedent in </w:t>
      </w:r>
      <w:r w:rsidR="00A1149D" w:rsidRPr="0079374E">
        <w:rPr>
          <w:i/>
          <w:iCs/>
        </w:rPr>
        <w:t>U.S. v. Gibson</w:t>
      </w:r>
      <w:r w:rsidR="00A1149D" w:rsidRPr="0079374E">
        <w:t>,</w:t>
      </w:r>
      <w:r w:rsidR="00677DA5" w:rsidRPr="0079374E">
        <w:t xml:space="preserve"> which considered a New York “narcotic drug” provision (NYPL § 110/220.39),</w:t>
      </w:r>
      <w:r w:rsidR="00061E2D" w:rsidRPr="0079374E">
        <w:t xml:space="preserve"> Respondent’s statute of conviction is further overbroad as compared to the federal CSA because Respondent’s conviction occurred after January 23, 2015, and after that date New York’s definition of “narcotic drug” further diverges f</w:t>
      </w:r>
      <w:r w:rsidR="000610C5">
        <w:t>ro</w:t>
      </w:r>
      <w:r w:rsidR="00061E2D" w:rsidRPr="0079374E">
        <w:t>m the CSA because of New York’s inclusion</w:t>
      </w:r>
      <w:r w:rsidR="00677DA5" w:rsidRPr="0079374E">
        <w:t xml:space="preserve"> and the CSA’s exclusion</w:t>
      </w:r>
      <w:r w:rsidR="00061E2D" w:rsidRPr="0079374E">
        <w:t xml:space="preserve"> of </w:t>
      </w:r>
      <w:proofErr w:type="spellStart"/>
      <w:r w:rsidR="00677DA5" w:rsidRPr="0079374E">
        <w:t>N</w:t>
      </w:r>
      <w:r w:rsidR="00061E2D" w:rsidRPr="0079374E">
        <w:t>aloxegol</w:t>
      </w:r>
      <w:proofErr w:type="spellEnd"/>
      <w:r w:rsidR="00061E2D" w:rsidRPr="0079374E">
        <w:t xml:space="preserve">. </w:t>
      </w:r>
      <w:r w:rsidR="00D37941" w:rsidRPr="0079374E">
        <w:rPr>
          <w:i/>
          <w:iCs/>
        </w:rPr>
        <w:t>See United States v. Gibson</w:t>
      </w:r>
      <w:r w:rsidR="00D37941" w:rsidRPr="0079374E">
        <w:t xml:space="preserve">, </w:t>
      </w:r>
      <w:r w:rsidR="00061E2D" w:rsidRPr="0079374E">
        <w:t xml:space="preserve">55 F.4th 153 (2d Cir. 2022). In </w:t>
      </w:r>
      <w:r w:rsidR="00061E2D" w:rsidRPr="0079374E">
        <w:rPr>
          <w:i/>
          <w:iCs/>
        </w:rPr>
        <w:t>Gibson</w:t>
      </w:r>
      <w:r w:rsidR="00061E2D" w:rsidRPr="0079374E">
        <w:t xml:space="preserve">, the Second Circuit </w:t>
      </w:r>
      <w:r w:rsidR="00677DA5" w:rsidRPr="0079374E">
        <w:t>recognized</w:t>
      </w:r>
      <w:r w:rsidR="00061E2D" w:rsidRPr="0079374E">
        <w:t xml:space="preserve"> that the federal government </w:t>
      </w:r>
      <w:r w:rsidR="00677DA5" w:rsidRPr="0079374E">
        <w:t xml:space="preserve">removed </w:t>
      </w:r>
      <w:proofErr w:type="spellStart"/>
      <w:r w:rsidR="00677DA5" w:rsidRPr="0079374E">
        <w:t>N</w:t>
      </w:r>
      <w:r w:rsidR="00061E2D" w:rsidRPr="0079374E">
        <w:t>aloxegol</w:t>
      </w:r>
      <w:proofErr w:type="spellEnd"/>
      <w:r w:rsidR="00677DA5" w:rsidRPr="0079374E">
        <w:t xml:space="preserve"> from the CSA’s schedules</w:t>
      </w:r>
      <w:r w:rsidR="00061E2D" w:rsidRPr="0079374E">
        <w:t xml:space="preserve"> on January 23, 2015. 55 F.4th at 163 (quoting 21 C.F.R. § 1308.12(b)(1)) (“[O]n </w:t>
      </w:r>
      <w:proofErr w:type="spellStart"/>
      <w:r w:rsidR="00061E2D" w:rsidRPr="0079374E">
        <w:t>Janaury</w:t>
      </w:r>
      <w:proofErr w:type="spellEnd"/>
      <w:r w:rsidR="00061E2D" w:rsidRPr="0079374E">
        <w:t xml:space="preserve"> 23, 2015, the DEA issued the </w:t>
      </w:r>
      <w:proofErr w:type="spellStart"/>
      <w:r w:rsidR="00061E2D" w:rsidRPr="0079374E">
        <w:t>Naloxegol</w:t>
      </w:r>
      <w:proofErr w:type="spellEnd"/>
      <w:r w:rsidR="00061E2D" w:rsidRPr="0079374E">
        <w:t xml:space="preserve"> Delisting Rule, revising CSA Schedule II’s paragraph (b)(1) introductory text to list as controlled ‘(1) Opium and opiate, and any salt, compound, derivative, or preparation of opium or opiate excluding . . . </w:t>
      </w:r>
      <w:proofErr w:type="spellStart"/>
      <w:r w:rsidR="00061E2D" w:rsidRPr="0079374E">
        <w:t>naloxegol</w:t>
      </w:r>
      <w:proofErr w:type="spellEnd"/>
      <w:r w:rsidR="00061E2D" w:rsidRPr="0079374E">
        <w:t>.’”).</w:t>
      </w:r>
      <w:r w:rsidR="00677DA5" w:rsidRPr="0079374E">
        <w:t xml:space="preserve"> The Second Circuit further recognized that </w:t>
      </w:r>
      <w:proofErr w:type="spellStart"/>
      <w:r w:rsidR="00677DA5" w:rsidRPr="0079374E">
        <w:t>Naloxegol</w:t>
      </w:r>
      <w:proofErr w:type="spellEnd"/>
      <w:r w:rsidR="00677DA5" w:rsidRPr="0079374E">
        <w:t xml:space="preserve"> is “an opium alkaloid derivative” that is controlled under “New York law. </w:t>
      </w:r>
      <w:r w:rsidR="00677DA5" w:rsidRPr="0079374E">
        <w:rPr>
          <w:i/>
          <w:iCs/>
        </w:rPr>
        <w:t>Gibson</w:t>
      </w:r>
      <w:r w:rsidR="00677DA5" w:rsidRPr="0079374E">
        <w:t xml:space="preserve">, 55 F.4th at 157 (citing N.Y. Pub. Health Law § 3306 Schedule II(b)(1) (McKinney </w:t>
      </w:r>
      <w:r w:rsidR="00677DA5" w:rsidRPr="0079374E">
        <w:lastRenderedPageBreak/>
        <w:t xml:space="preserve">2002); NYPL § 220.00(7) (defining “narcotic drug” to include any derivative of opium)). The Second Circuit consequently found that conviction under the </w:t>
      </w:r>
      <w:r w:rsidR="00B71ABA" w:rsidRPr="0079374E">
        <w:t xml:space="preserve">New York “narcotic drug” provision is categorically broader than the federal CSA. </w:t>
      </w:r>
      <w:r w:rsidR="00B71ABA" w:rsidRPr="0079374E">
        <w:rPr>
          <w:i/>
          <w:iCs/>
        </w:rPr>
        <w:t>See Gibson</w:t>
      </w:r>
      <w:r w:rsidR="00B71ABA" w:rsidRPr="0079374E">
        <w:t>, 55 F.4th at 166 (holding that, under the Sentencing Guidelines which cross-reference the federal CSA, “conviction under [NYPL] § 220.39(1) and 110, was “not a “predicate” offense).</w:t>
      </w:r>
      <w:r w:rsidR="00F91159" w:rsidRPr="0079374E">
        <w:t xml:space="preserve"> Because Respondent was convicted under a “narcotic drug” provision after the January 23, 2015 removal of </w:t>
      </w:r>
      <w:proofErr w:type="spellStart"/>
      <w:r w:rsidR="00F91159" w:rsidRPr="0079374E">
        <w:t>Naloxegol</w:t>
      </w:r>
      <w:proofErr w:type="spellEnd"/>
      <w:r w:rsidR="00F91159" w:rsidRPr="0079374E">
        <w:t xml:space="preserve"> from the federal CSA, under </w:t>
      </w:r>
      <w:r w:rsidR="00F91159" w:rsidRPr="0079374E">
        <w:rPr>
          <w:i/>
          <w:iCs/>
        </w:rPr>
        <w:t>Gibson</w:t>
      </w:r>
      <w:r w:rsidR="00F91159" w:rsidRPr="0079374E">
        <w:t xml:space="preserve"> Respondent’s conviction is clearly not for an aggravated felony or offense relating to a controlled substance.</w:t>
      </w:r>
      <w:r w:rsidRPr="0079374E">
        <w:t>]</w:t>
      </w:r>
    </w:p>
    <w:p w14:paraId="37747CA0" w14:textId="5BF8D3A1" w:rsidR="00AA6572" w:rsidRPr="0079374E" w:rsidRDefault="00AA6572" w:rsidP="001643A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79374E">
        <w:t xml:space="preserve">Respondent’s conviction is categorically not for an aggravated felony or offense relating to a controlled substance. By treating the conviction as an aggravated felony or offense relating to a controlled substance, this Board committed legal error which it is now obligated to correct by reconsidering the removal order and terminating or remanding these removal proceedings. </w:t>
      </w:r>
    </w:p>
    <w:p w14:paraId="63176412" w14:textId="75F41610" w:rsidR="00A228D5" w:rsidRPr="0079374E" w:rsidRDefault="00A228D5" w:rsidP="00D6244C">
      <w:pPr>
        <w:pStyle w:val="ListParagraph"/>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79374E">
        <w:rPr>
          <w:b/>
          <w:bCs/>
        </w:rPr>
        <w:t>This</w:t>
      </w:r>
      <w:r w:rsidR="006F4BE5" w:rsidRPr="0079374E">
        <w:rPr>
          <w:b/>
          <w:bCs/>
        </w:rPr>
        <w:t xml:space="preserve"> Motion to Reconside</w:t>
      </w:r>
      <w:r w:rsidR="00EF70C7" w:rsidRPr="0079374E">
        <w:rPr>
          <w:b/>
          <w:bCs/>
        </w:rPr>
        <w:t>r and/or Reopen Must Be Granted</w:t>
      </w:r>
      <w:r w:rsidR="00694D11">
        <w:rPr>
          <w:b/>
          <w:bCs/>
        </w:rPr>
        <w:t xml:space="preserve"> Because</w:t>
      </w:r>
      <w:r w:rsidR="00EF70C7" w:rsidRPr="0079374E">
        <w:rPr>
          <w:b/>
          <w:bCs/>
        </w:rPr>
        <w:t xml:space="preserve"> t</w:t>
      </w:r>
      <w:r w:rsidRPr="0079374E">
        <w:rPr>
          <w:b/>
          <w:bCs/>
        </w:rPr>
        <w:t>he</w:t>
      </w:r>
      <w:r w:rsidR="00EF70C7" w:rsidRPr="0079374E">
        <w:rPr>
          <w:b/>
          <w:bCs/>
        </w:rPr>
        <w:t xml:space="preserve"> Board’s</w:t>
      </w:r>
      <w:r w:rsidRPr="0079374E">
        <w:rPr>
          <w:b/>
          <w:bCs/>
        </w:rPr>
        <w:t xml:space="preserve"> Prior Conclusion That </w:t>
      </w:r>
      <w:r w:rsidR="00EF70C7" w:rsidRPr="0079374E">
        <w:rPr>
          <w:b/>
          <w:bCs/>
        </w:rPr>
        <w:t xml:space="preserve">Respondent’s </w:t>
      </w:r>
      <w:r w:rsidRPr="0079374E">
        <w:rPr>
          <w:b/>
          <w:bCs/>
        </w:rPr>
        <w:t xml:space="preserve">Conviction Was an Aggravated Felony or Offense Relating to a Controlled Substance Was </w:t>
      </w:r>
      <w:r w:rsidR="00EF70C7" w:rsidRPr="0079374E">
        <w:rPr>
          <w:b/>
          <w:bCs/>
        </w:rPr>
        <w:t xml:space="preserve">Legal and Factual Error, Now Made Clear and Corrected by </w:t>
      </w:r>
      <w:r w:rsidR="00EF70C7" w:rsidRPr="0079374E">
        <w:rPr>
          <w:b/>
          <w:bCs/>
          <w:i/>
          <w:iCs/>
        </w:rPr>
        <w:t>Minter</w:t>
      </w:r>
      <w:r w:rsidR="00EF70C7" w:rsidRPr="0079374E">
        <w:rPr>
          <w:b/>
          <w:bCs/>
        </w:rPr>
        <w:t xml:space="preserve">, and Because the INA Does not Authorize the Board to </w:t>
      </w:r>
      <w:r w:rsidR="003B1E2D" w:rsidRPr="0079374E">
        <w:rPr>
          <w:b/>
          <w:bCs/>
        </w:rPr>
        <w:t>Perpetuate a Removability or Relief Ineligibility Holding Where No Such Basis Exists, Which Is the Case Here</w:t>
      </w:r>
    </w:p>
    <w:p w14:paraId="0529E4B6" w14:textId="21809C8E" w:rsidR="00641B01" w:rsidRPr="0079374E" w:rsidRDefault="00641B01" w:rsidP="00A228D5">
      <w:pPr>
        <w:autoSpaceDE w:val="0"/>
        <w:autoSpaceDN w:val="0"/>
        <w:adjustRightInd w:val="0"/>
        <w:jc w:val="both"/>
        <w:rPr>
          <w:b/>
          <w:iCs/>
        </w:rPr>
      </w:pPr>
      <w:r w:rsidRPr="0079374E">
        <w:rPr>
          <w:bCs/>
          <w:iCs/>
        </w:rPr>
        <w:tab/>
      </w:r>
    </w:p>
    <w:p w14:paraId="39657D52" w14:textId="5CD16C69" w:rsidR="00A228D5" w:rsidRPr="0079374E" w:rsidRDefault="00641B01" w:rsidP="00641B01">
      <w:pPr>
        <w:autoSpaceDE w:val="0"/>
        <w:autoSpaceDN w:val="0"/>
        <w:adjustRightInd w:val="0"/>
        <w:spacing w:line="480" w:lineRule="auto"/>
        <w:ind w:firstLine="720"/>
        <w:jc w:val="both"/>
        <w:rPr>
          <w:bCs/>
          <w:iCs/>
        </w:rPr>
      </w:pPr>
      <w:r w:rsidRPr="0079374E">
        <w:rPr>
          <w:bCs/>
          <w:iCs/>
        </w:rPr>
        <w:t xml:space="preserve">Where a “conviction” does not operate to render a noncitizen removable or ineligible to apply for statutory relief, this Board may not perpetuate a removability charge or relief bar. Because </w:t>
      </w:r>
      <w:r w:rsidRPr="0079374E">
        <w:rPr>
          <w:bCs/>
          <w:i/>
        </w:rPr>
        <w:t>Minter</w:t>
      </w:r>
      <w:r w:rsidRPr="0079374E">
        <w:rPr>
          <w:bCs/>
          <w:iCs/>
        </w:rPr>
        <w:t xml:space="preserve"> makes clear that Respondent’s conviction is not an offense relating to a controlled substance or aggravated felony, the removal order in this case </w:t>
      </w:r>
      <w:r w:rsidR="00CB425C" w:rsidRPr="0079374E">
        <w:rPr>
          <w:bCs/>
          <w:iCs/>
        </w:rPr>
        <w:t>was based on legal error</w:t>
      </w:r>
      <w:r w:rsidR="00E96FC1" w:rsidRPr="0079374E">
        <w:rPr>
          <w:bCs/>
          <w:iCs/>
        </w:rPr>
        <w:t xml:space="preserve"> and removal proceedings must be terminated or reopened and remanded for a relief hearing.</w:t>
      </w:r>
    </w:p>
    <w:p w14:paraId="62FA15F0" w14:textId="77777777" w:rsidR="00E96FC1" w:rsidRPr="0079374E" w:rsidRDefault="00E96FC1" w:rsidP="00E96FC1">
      <w:pPr>
        <w:autoSpaceDE w:val="0"/>
        <w:autoSpaceDN w:val="0"/>
        <w:adjustRightInd w:val="0"/>
        <w:spacing w:line="480" w:lineRule="auto"/>
        <w:ind w:firstLine="720"/>
        <w:jc w:val="both"/>
        <w:rPr>
          <w:bCs/>
          <w:iCs/>
        </w:rPr>
      </w:pPr>
      <w:r w:rsidRPr="0079374E">
        <w:rPr>
          <w:bCs/>
          <w:iCs/>
        </w:rPr>
        <w:t xml:space="preserve">The Department of Homeland Security (“Department”) “has the burden of establishing by clear and convincing evidence that” an admitted noncitizen “is deportable.” INA § 240(c)(3)(A). “No decision on deportability shall be valid unless it is based upon reasonable, substantial, and </w:t>
      </w:r>
      <w:r w:rsidRPr="0079374E">
        <w:rPr>
          <w:bCs/>
          <w:iCs/>
        </w:rPr>
        <w:lastRenderedPageBreak/>
        <w:t xml:space="preserve">probative evidence.” </w:t>
      </w:r>
      <w:r w:rsidRPr="0079374E">
        <w:rPr>
          <w:bCs/>
          <w:i/>
        </w:rPr>
        <w:t>Id.</w:t>
      </w:r>
      <w:r w:rsidRPr="0079374E">
        <w:rPr>
          <w:bCs/>
          <w:iCs/>
        </w:rPr>
        <w:t xml:space="preserve"> Where a conviction clearly falls outside of a removability category, there is no evidence to satisfy this burden.</w:t>
      </w:r>
    </w:p>
    <w:p w14:paraId="108C9596" w14:textId="744DE2B1" w:rsidR="00E96FC1" w:rsidRPr="0079374E" w:rsidRDefault="00E96FC1" w:rsidP="00E96FC1">
      <w:pPr>
        <w:autoSpaceDE w:val="0"/>
        <w:autoSpaceDN w:val="0"/>
        <w:adjustRightInd w:val="0"/>
        <w:spacing w:line="480" w:lineRule="auto"/>
        <w:ind w:firstLine="720"/>
        <w:jc w:val="both"/>
        <w:rPr>
          <w:bCs/>
          <w:iCs/>
        </w:rPr>
      </w:pPr>
      <w:r w:rsidRPr="0079374E">
        <w:rPr>
          <w:bCs/>
          <w:iCs/>
        </w:rPr>
        <w:t xml:space="preserve">A noncitizen “applying for relief or protection from removal has the burden of proof to establish that the” noncitizen “satisfies the applicable eligibility requirements.” INA § 240(c)(4)(A). Under </w:t>
      </w:r>
      <w:r w:rsidRPr="0079374E">
        <w:rPr>
          <w:bCs/>
          <w:i/>
        </w:rPr>
        <w:t>Minter</w:t>
      </w:r>
      <w:r w:rsidRPr="0079374E">
        <w:rPr>
          <w:bCs/>
          <w:iCs/>
        </w:rPr>
        <w:t xml:space="preserve">, a </w:t>
      </w:r>
      <w:r w:rsidR="003442E2" w:rsidRPr="0079374E">
        <w:rPr>
          <w:b/>
          <w:iCs/>
        </w:rPr>
        <w:t xml:space="preserve">[“cocaine” or </w:t>
      </w:r>
      <w:r w:rsidRPr="0079374E">
        <w:rPr>
          <w:b/>
          <w:iCs/>
        </w:rPr>
        <w:t>“narcotic drug”</w:t>
      </w:r>
      <w:r w:rsidR="003442E2" w:rsidRPr="0079374E">
        <w:rPr>
          <w:b/>
          <w:iCs/>
        </w:rPr>
        <w:t>]</w:t>
      </w:r>
      <w:r w:rsidRPr="0079374E">
        <w:rPr>
          <w:bCs/>
          <w:iCs/>
        </w:rPr>
        <w:t xml:space="preserve"> conviction does not trigger ineligibility provisions for a drug trafficking aggravated felony or offense relating to a controlled substance. Consequently, the noncitizen’s burden in such cases is satisfied. </w:t>
      </w:r>
    </w:p>
    <w:p w14:paraId="081C4E7E" w14:textId="2E900220" w:rsidR="00E96FC1" w:rsidRPr="0079374E" w:rsidRDefault="00E96FC1" w:rsidP="00E96FC1">
      <w:pPr>
        <w:autoSpaceDE w:val="0"/>
        <w:autoSpaceDN w:val="0"/>
        <w:adjustRightInd w:val="0"/>
        <w:spacing w:line="480" w:lineRule="auto"/>
        <w:ind w:firstLine="720"/>
        <w:jc w:val="both"/>
        <w:rPr>
          <w:b/>
          <w:bCs/>
          <w:iCs/>
        </w:rPr>
      </w:pPr>
      <w:r w:rsidRPr="0079374E">
        <w:rPr>
          <w:bCs/>
          <w:iCs/>
        </w:rPr>
        <w:t>The INA unambiguous</w:t>
      </w:r>
      <w:r w:rsidR="003442E2" w:rsidRPr="0079374E">
        <w:rPr>
          <w:bCs/>
          <w:iCs/>
        </w:rPr>
        <w:t>ly</w:t>
      </w:r>
      <w:r w:rsidRPr="0079374E">
        <w:rPr>
          <w:bCs/>
          <w:iCs/>
        </w:rPr>
        <w:t xml:space="preserve"> states the circumstances where the burden is satisfied for a prior conviction to render a noncitizen removable or ineligible for relief. Under </w:t>
      </w:r>
      <w:r w:rsidRPr="0079374E">
        <w:rPr>
          <w:bCs/>
          <w:i/>
        </w:rPr>
        <w:t>Minter</w:t>
      </w:r>
      <w:r w:rsidRPr="0079374E">
        <w:rPr>
          <w:bCs/>
          <w:iCs/>
        </w:rPr>
        <w:t xml:space="preserve">, </w:t>
      </w:r>
      <w:r w:rsidR="003442E2" w:rsidRPr="0079374E">
        <w:rPr>
          <w:b/>
          <w:iCs/>
        </w:rPr>
        <w:t xml:space="preserve">[“cocaine” or </w:t>
      </w:r>
      <w:r w:rsidRPr="0079374E">
        <w:rPr>
          <w:b/>
          <w:iCs/>
        </w:rPr>
        <w:t>“narcotic drug”</w:t>
      </w:r>
      <w:r w:rsidR="003442E2" w:rsidRPr="0079374E">
        <w:rPr>
          <w:b/>
          <w:iCs/>
        </w:rPr>
        <w:t>]</w:t>
      </w:r>
      <w:r w:rsidRPr="0079374E">
        <w:rPr>
          <w:bCs/>
          <w:iCs/>
        </w:rPr>
        <w:t xml:space="preserve"> convictions cannot trigger removability or relief ineligibility for a drug trafficking aggravated felony or offense relating to a </w:t>
      </w:r>
      <w:proofErr w:type="gramStart"/>
      <w:r w:rsidRPr="0079374E">
        <w:rPr>
          <w:bCs/>
          <w:iCs/>
        </w:rPr>
        <w:t>controlled substance</w:t>
      </w:r>
      <w:r w:rsidR="009B21B9" w:rsidRPr="0079374E">
        <w:rPr>
          <w:bCs/>
          <w:iCs/>
        </w:rPr>
        <w:t xml:space="preserve"> provisions</w:t>
      </w:r>
      <w:proofErr w:type="gramEnd"/>
      <w:r w:rsidR="009B21B9" w:rsidRPr="0079374E">
        <w:rPr>
          <w:bCs/>
          <w:iCs/>
        </w:rPr>
        <w:t>, and thus the Board must reconsider and/or reopen the removal proceedings and removal order in Respondent’s case.</w:t>
      </w:r>
    </w:p>
    <w:p w14:paraId="133D9B2C" w14:textId="7DC06161" w:rsidR="001737F0" w:rsidRPr="0079374E" w:rsidRDefault="00B913AE" w:rsidP="00AE5C85">
      <w:pPr>
        <w:pStyle w:val="ListParagraph"/>
        <w:numPr>
          <w:ilvl w:val="0"/>
          <w:numId w:val="10"/>
        </w:numPr>
        <w:autoSpaceDE w:val="0"/>
        <w:autoSpaceDN w:val="0"/>
        <w:adjustRightInd w:val="0"/>
        <w:jc w:val="both"/>
        <w:rPr>
          <w:b/>
          <w:iCs/>
        </w:rPr>
      </w:pPr>
      <w:r w:rsidRPr="0079374E">
        <w:rPr>
          <w:b/>
          <w:bCs/>
        </w:rPr>
        <w:t>T</w:t>
      </w:r>
      <w:r w:rsidR="00DA062D" w:rsidRPr="0079374E">
        <w:rPr>
          <w:b/>
          <w:iCs/>
        </w:rPr>
        <w:t xml:space="preserve">he Instant Motion </w:t>
      </w:r>
      <w:r w:rsidRPr="0079374E">
        <w:rPr>
          <w:b/>
          <w:iCs/>
        </w:rPr>
        <w:t xml:space="preserve">Is </w:t>
      </w:r>
      <w:r w:rsidR="00DA062D" w:rsidRPr="0079374E">
        <w:rPr>
          <w:b/>
          <w:iCs/>
        </w:rPr>
        <w:t>a Timely Filed Statutory Motion</w:t>
      </w:r>
      <w:r w:rsidR="00700A95" w:rsidRPr="0079374E">
        <w:rPr>
          <w:b/>
          <w:iCs/>
        </w:rPr>
        <w:t xml:space="preserve"> [IF FILED MORE THAN 30 DAYS AFTER REMOVAL ORDER, ADD:</w:t>
      </w:r>
      <w:r w:rsidR="00DA062D" w:rsidRPr="0079374E">
        <w:rPr>
          <w:b/>
          <w:iCs/>
        </w:rPr>
        <w:t xml:space="preserve"> </w:t>
      </w:r>
      <w:r w:rsidRPr="0079374E">
        <w:rPr>
          <w:b/>
          <w:iCs/>
        </w:rPr>
        <w:t xml:space="preserve">Because </w:t>
      </w:r>
      <w:r w:rsidR="00DA062D" w:rsidRPr="0079374E">
        <w:rPr>
          <w:b/>
          <w:iCs/>
        </w:rPr>
        <w:t xml:space="preserve">Respondent Merits Equitable Tolling of </w:t>
      </w:r>
      <w:r w:rsidRPr="0079374E">
        <w:rPr>
          <w:b/>
          <w:iCs/>
        </w:rPr>
        <w:t xml:space="preserve">Any </w:t>
      </w:r>
      <w:r w:rsidR="00DA062D" w:rsidRPr="0079374E">
        <w:rPr>
          <w:b/>
          <w:iCs/>
        </w:rPr>
        <w:t>Time and Numerical Limitations</w:t>
      </w:r>
      <w:r w:rsidR="00700A95" w:rsidRPr="0079374E">
        <w:rPr>
          <w:b/>
          <w:iCs/>
        </w:rPr>
        <w:t>]</w:t>
      </w:r>
    </w:p>
    <w:p w14:paraId="4A91CE34" w14:textId="77777777" w:rsidR="004F5465" w:rsidRPr="0079374E" w:rsidRDefault="004F5465" w:rsidP="00184629">
      <w:pPr>
        <w:autoSpaceDE w:val="0"/>
        <w:autoSpaceDN w:val="0"/>
        <w:adjustRightInd w:val="0"/>
        <w:jc w:val="both"/>
      </w:pPr>
    </w:p>
    <w:p w14:paraId="18A49E32" w14:textId="44E7D631" w:rsidR="00184629" w:rsidRPr="0079374E" w:rsidRDefault="004F5465" w:rsidP="004F5465">
      <w:pPr>
        <w:autoSpaceDE w:val="0"/>
        <w:autoSpaceDN w:val="0"/>
        <w:adjustRightInd w:val="0"/>
        <w:spacing w:line="480" w:lineRule="auto"/>
        <w:jc w:val="both"/>
        <w:rPr>
          <w:iCs/>
        </w:rPr>
      </w:pPr>
      <w:r w:rsidRPr="0079374E">
        <w:tab/>
        <w:t>The Second Circuit</w:t>
      </w:r>
      <w:r w:rsidR="00700A95" w:rsidRPr="0079374E">
        <w:t xml:space="preserve"> has held that the</w:t>
      </w:r>
      <w:r w:rsidRPr="0079374E">
        <w:t xml:space="preserve"> statutory time and number limitations on statutory motions to reopen and reconsider</w:t>
      </w:r>
      <w:r w:rsidR="00700A95" w:rsidRPr="0079374E">
        <w:t xml:space="preserve"> are subject to equitable tolling</w:t>
      </w:r>
      <w:r w:rsidRPr="0079374E">
        <w:t xml:space="preserve">. These time and number limitations in Respondent’s case must be equitably tolled. </w:t>
      </w:r>
      <w:r w:rsidR="00AA5C88" w:rsidRPr="0079374E">
        <w:t xml:space="preserve">Thus, </w:t>
      </w:r>
      <w:r w:rsidRPr="0079374E">
        <w:t>Respondent’s motion is a timely motion</w:t>
      </w:r>
      <w:r w:rsidR="00AA5C88" w:rsidRPr="0079374E">
        <w:t xml:space="preserve"> and not barred by any one-motion rule, and </w:t>
      </w:r>
      <w:r w:rsidRPr="0079374E">
        <w:t>must be granted.</w:t>
      </w:r>
    </w:p>
    <w:p w14:paraId="7E559EFB" w14:textId="56A07675" w:rsidR="00184629" w:rsidRPr="0079374E" w:rsidRDefault="00184629" w:rsidP="00AE5C85">
      <w:pPr>
        <w:pStyle w:val="ListParagraph"/>
        <w:numPr>
          <w:ilvl w:val="0"/>
          <w:numId w:val="13"/>
        </w:numPr>
        <w:autoSpaceDE w:val="0"/>
        <w:autoSpaceDN w:val="0"/>
        <w:adjustRightInd w:val="0"/>
        <w:ind w:left="1440" w:hanging="720"/>
        <w:jc w:val="both"/>
        <w:rPr>
          <w:b/>
        </w:rPr>
      </w:pPr>
      <w:r w:rsidRPr="0079374E">
        <w:rPr>
          <w:b/>
        </w:rPr>
        <w:t>Standard for Equitable Tolling</w:t>
      </w:r>
    </w:p>
    <w:p w14:paraId="35C0F394" w14:textId="77777777" w:rsidR="00184629" w:rsidRPr="0079374E" w:rsidRDefault="00184629" w:rsidP="00184629">
      <w:pPr>
        <w:autoSpaceDE w:val="0"/>
        <w:autoSpaceDN w:val="0"/>
        <w:adjustRightInd w:val="0"/>
        <w:jc w:val="both"/>
        <w:rPr>
          <w:b/>
        </w:rPr>
      </w:pPr>
    </w:p>
    <w:p w14:paraId="1BB405AD" w14:textId="0D10EF91" w:rsidR="00184629" w:rsidRPr="0079374E" w:rsidRDefault="004F5465"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Cs/>
        </w:rPr>
      </w:pPr>
      <w:r w:rsidRPr="0079374E">
        <w:tab/>
      </w:r>
      <w:r w:rsidR="008C4368" w:rsidRPr="0079374E">
        <w:t xml:space="preserve">To be </w:t>
      </w:r>
      <w:r w:rsidR="00184629" w:rsidRPr="0079374E">
        <w:t>“entitle</w:t>
      </w:r>
      <w:r w:rsidR="008C4368" w:rsidRPr="0079374E">
        <w:t>d</w:t>
      </w:r>
      <w:r w:rsidR="00184629" w:rsidRPr="0079374E">
        <w:t xml:space="preserve"> to equitable tolling</w:t>
      </w:r>
      <w:r w:rsidR="008C4368" w:rsidRPr="0079374E">
        <w:t>,</w:t>
      </w:r>
      <w:r w:rsidR="00184629" w:rsidRPr="0079374E">
        <w:t xml:space="preserve">” </w:t>
      </w:r>
      <w:r w:rsidR="008C4368" w:rsidRPr="0079374E">
        <w:t xml:space="preserve">it must be shown that a litigant </w:t>
      </w:r>
      <w:r w:rsidR="00184629" w:rsidRPr="0079374E">
        <w:rPr>
          <w:bCs/>
        </w:rPr>
        <w:t>“(1) has been pursuing his rights diligently, and (2) that some extraordinary circumstance stood in his way and prevented timely filing.”</w:t>
      </w:r>
      <w:r w:rsidR="008C4368" w:rsidRPr="0079374E">
        <w:rPr>
          <w:bCs/>
        </w:rPr>
        <w:t xml:space="preserve"> </w:t>
      </w:r>
      <w:r w:rsidR="008C4368" w:rsidRPr="0079374E">
        <w:rPr>
          <w:bCs/>
          <w:i/>
        </w:rPr>
        <w:t>Holland v. Florida</w:t>
      </w:r>
      <w:r w:rsidR="008C4368" w:rsidRPr="0079374E">
        <w:rPr>
          <w:bCs/>
        </w:rPr>
        <w:t>,</w:t>
      </w:r>
      <w:r w:rsidR="008C4368" w:rsidRPr="0079374E">
        <w:rPr>
          <w:bCs/>
          <w:i/>
        </w:rPr>
        <w:t xml:space="preserve"> </w:t>
      </w:r>
      <w:r w:rsidR="008C4368" w:rsidRPr="0079374E">
        <w:rPr>
          <w:bCs/>
        </w:rPr>
        <w:t>560 U.S. 631, 632 (2010) (cleaned up).</w:t>
      </w:r>
      <w:r w:rsidR="00184629" w:rsidRPr="0079374E">
        <w:rPr>
          <w:bCs/>
        </w:rPr>
        <w:t xml:space="preserve"> </w:t>
      </w:r>
      <w:r w:rsidR="00184629" w:rsidRPr="0079374E">
        <w:rPr>
          <w:bCs/>
          <w:i/>
        </w:rPr>
        <w:t xml:space="preserve">See also </w:t>
      </w:r>
      <w:r w:rsidR="00184629" w:rsidRPr="0079374E">
        <w:rPr>
          <w:bCs/>
          <w:i/>
          <w:iCs/>
        </w:rPr>
        <w:lastRenderedPageBreak/>
        <w:t>Credit Suisse Securities (USA) LLC v. Simmonds</w:t>
      </w:r>
      <w:r w:rsidR="00184629" w:rsidRPr="0079374E">
        <w:rPr>
          <w:bCs/>
        </w:rPr>
        <w:t xml:space="preserve">, </w:t>
      </w:r>
      <w:r w:rsidR="00AA5C88" w:rsidRPr="0079374E">
        <w:rPr>
          <w:bCs/>
        </w:rPr>
        <w:t>566 U.S. 221, 227</w:t>
      </w:r>
      <w:r w:rsidR="00184629" w:rsidRPr="0079374E">
        <w:rPr>
          <w:bCs/>
        </w:rPr>
        <w:t xml:space="preserve"> (2012); </w:t>
      </w:r>
      <w:r w:rsidR="00184629" w:rsidRPr="0079374E">
        <w:rPr>
          <w:bCs/>
          <w:i/>
        </w:rPr>
        <w:t>Lawrence v. Florida</w:t>
      </w:r>
      <w:r w:rsidR="00184629" w:rsidRPr="0079374E">
        <w:rPr>
          <w:bCs/>
        </w:rPr>
        <w:t>, 549 U.S. 327, 336 (2007)</w:t>
      </w:r>
      <w:r w:rsidR="00184629" w:rsidRPr="0079374E">
        <w:rPr>
          <w:bCs/>
        </w:rPr>
        <w:fldChar w:fldCharType="begin"/>
      </w:r>
      <w:r w:rsidR="00184629" w:rsidRPr="0079374E">
        <w:instrText xml:space="preserve"> TA \l "</w:instrText>
      </w:r>
      <w:r w:rsidR="00184629" w:rsidRPr="0079374E">
        <w:rPr>
          <w:bCs/>
          <w:i/>
        </w:rPr>
        <w:instrText>Lawrence v. Florida</w:instrText>
      </w:r>
      <w:r w:rsidR="00184629" w:rsidRPr="0079374E">
        <w:rPr>
          <w:bCs/>
        </w:rPr>
        <w:instrText>, 549 U.S. 327 (2007)</w:instrText>
      </w:r>
      <w:r w:rsidR="00184629" w:rsidRPr="0079374E">
        <w:instrText xml:space="preserve">" \s "Lawrence v. Florida, 549 U.S. 327 (2007)" \c 1 </w:instrText>
      </w:r>
      <w:r w:rsidR="00184629" w:rsidRPr="0079374E">
        <w:rPr>
          <w:bCs/>
        </w:rPr>
        <w:fldChar w:fldCharType="end"/>
      </w:r>
      <w:r w:rsidR="00184629" w:rsidRPr="0079374E">
        <w:rPr>
          <w:bCs/>
        </w:rPr>
        <w:t xml:space="preserve">. </w:t>
      </w:r>
      <w:r w:rsidR="008C4368" w:rsidRPr="0079374E">
        <w:t>Diligence requires</w:t>
      </w:r>
      <w:r w:rsidR="00184629" w:rsidRPr="0079374E">
        <w:t xml:space="preserve"> “</w:t>
      </w:r>
      <w:r w:rsidR="00184629" w:rsidRPr="0079374E">
        <w:rPr>
          <w:bCs/>
        </w:rPr>
        <w:t xml:space="preserve">reasonable diligence,” not “maximum feasible diligence.” </w:t>
      </w:r>
      <w:r w:rsidR="00184629" w:rsidRPr="0079374E">
        <w:rPr>
          <w:bCs/>
          <w:i/>
        </w:rPr>
        <w:t>Holland</w:t>
      </w:r>
      <w:r w:rsidR="00184629" w:rsidRPr="0079374E">
        <w:rPr>
          <w:bCs/>
          <w:i/>
        </w:rPr>
        <w:fldChar w:fldCharType="begin"/>
      </w:r>
      <w:r w:rsidR="00184629" w:rsidRPr="0079374E">
        <w:instrText xml:space="preserve"> TA \s "Holland v. Florida, 130 S. Ct. 2549 (2010)" </w:instrText>
      </w:r>
      <w:r w:rsidR="00184629" w:rsidRPr="0079374E">
        <w:rPr>
          <w:bCs/>
          <w:i/>
        </w:rPr>
        <w:fldChar w:fldCharType="end"/>
      </w:r>
      <w:r w:rsidR="00184629" w:rsidRPr="0079374E">
        <w:rPr>
          <w:bCs/>
        </w:rPr>
        <w:t>, 560 U.S. at 653 (</w:t>
      </w:r>
      <w:r w:rsidR="008C4368" w:rsidRPr="0079374E">
        <w:rPr>
          <w:bCs/>
        </w:rPr>
        <w:t>cleaned up</w:t>
      </w:r>
      <w:r w:rsidR="00184629" w:rsidRPr="0079374E">
        <w:rPr>
          <w:bCs/>
        </w:rPr>
        <w:t xml:space="preserve">).  </w:t>
      </w:r>
    </w:p>
    <w:p w14:paraId="644A89C0" w14:textId="5DC35861" w:rsidR="00184629" w:rsidRPr="0079374E" w:rsidRDefault="00184629" w:rsidP="00184629">
      <w:pPr>
        <w:shd w:val="clear" w:color="auto" w:fill="FFFFFF"/>
        <w:spacing w:line="480" w:lineRule="auto"/>
      </w:pPr>
      <w:r w:rsidRPr="0079374E">
        <w:rPr>
          <w:bCs/>
        </w:rPr>
        <w:tab/>
      </w:r>
      <w:r w:rsidR="008C4368" w:rsidRPr="0079374E">
        <w:t>T</w:t>
      </w:r>
      <w:r w:rsidR="00C845FF" w:rsidRPr="0079374E">
        <w:t xml:space="preserve">he Second Circuit </w:t>
      </w:r>
      <w:r w:rsidRPr="0079374E">
        <w:t>recognize</w:t>
      </w:r>
      <w:r w:rsidR="008C4368" w:rsidRPr="0079374E">
        <w:t>s</w:t>
      </w:r>
      <w:r w:rsidRPr="0079374E">
        <w:t xml:space="preserve"> that</w:t>
      </w:r>
      <w:r w:rsidR="008C4368" w:rsidRPr="0079374E">
        <w:t xml:space="preserve"> INA</w:t>
      </w:r>
      <w:r w:rsidRPr="0079374E">
        <w:t xml:space="preserve"> motion deadlines are subject to equitable tolling</w:t>
      </w:r>
      <w:r w:rsidRPr="0079374E">
        <w:rPr>
          <w:bCs/>
        </w:rPr>
        <w:t xml:space="preserve">.  </w:t>
      </w:r>
      <w:r w:rsidRPr="0079374E">
        <w:rPr>
          <w:bCs/>
          <w:i/>
        </w:rPr>
        <w:t xml:space="preserve">See </w:t>
      </w:r>
      <w:proofErr w:type="spellStart"/>
      <w:r w:rsidRPr="0079374E">
        <w:rPr>
          <w:i/>
        </w:rPr>
        <w:t>Iavorski</w:t>
      </w:r>
      <w:proofErr w:type="spellEnd"/>
      <w:r w:rsidRPr="0079374E">
        <w:t>, 232 F.3d 134</w:t>
      </w:r>
      <w:r w:rsidR="008C4368" w:rsidRPr="0079374E">
        <w:t xml:space="preserve">. </w:t>
      </w:r>
      <w:r w:rsidR="00AA5C88" w:rsidRPr="0079374E">
        <w:t xml:space="preserve">Nine </w:t>
      </w:r>
      <w:r w:rsidR="008C4368" w:rsidRPr="0079374E">
        <w:t>Circuit Courts of Appeals do too.</w:t>
      </w:r>
      <w:r w:rsidRPr="0079374E">
        <w:t xml:space="preserve"> </w:t>
      </w:r>
      <w:r w:rsidR="00C845FF" w:rsidRPr="0079374E">
        <w:rPr>
          <w:bCs/>
          <w:i/>
        </w:rPr>
        <w:t>Cf</w:t>
      </w:r>
      <w:r w:rsidRPr="0079374E">
        <w:rPr>
          <w:bCs/>
        </w:rPr>
        <w:t>.</w:t>
      </w:r>
      <w:r w:rsidRPr="0079374E">
        <w:rPr>
          <w:rStyle w:val="term"/>
        </w:rPr>
        <w:t xml:space="preserve"> </w:t>
      </w:r>
      <w:r w:rsidRPr="0079374E">
        <w:rPr>
          <w:i/>
          <w:iCs/>
        </w:rPr>
        <w:t>Bolieiro v. Holder</w:t>
      </w:r>
      <w:r w:rsidRPr="0079374E">
        <w:t>, 731 F.3d 32, 39 n.7 (1st Cir. 2013) (“Notably, every circuit that has addressed the issue thus far has held that equitable tolling applies to . . . limits to filing motions to reopen.”)</w:t>
      </w:r>
      <w:r w:rsidR="008C4368" w:rsidRPr="0079374E">
        <w:t>.</w:t>
      </w:r>
      <w:r w:rsidR="008C4368" w:rsidRPr="0079374E">
        <w:rPr>
          <w:rStyle w:val="FootnoteReference"/>
        </w:rPr>
        <w:footnoteReference w:id="2"/>
      </w:r>
      <w:r w:rsidR="008C4368" w:rsidRPr="0079374E">
        <w:t xml:space="preserve"> T</w:t>
      </w:r>
      <w:r w:rsidR="00C845FF" w:rsidRPr="0079374E">
        <w:t>he Second Circuit</w:t>
      </w:r>
      <w:r w:rsidR="008C4368" w:rsidRPr="0079374E">
        <w:t xml:space="preserve"> and multiple federal courts</w:t>
      </w:r>
      <w:r w:rsidR="00C845FF" w:rsidRPr="0079374E">
        <w:t xml:space="preserve"> likewise</w:t>
      </w:r>
      <w:r w:rsidRPr="0079374E">
        <w:t xml:space="preserve"> recognize that the numeric limit on motions is subject to </w:t>
      </w:r>
      <w:r w:rsidR="008C4368" w:rsidRPr="0079374E">
        <w:t xml:space="preserve">equitable </w:t>
      </w:r>
      <w:r w:rsidRPr="0079374E">
        <w:t xml:space="preserve">tolling. </w:t>
      </w:r>
      <w:r w:rsidRPr="0079374E">
        <w:rPr>
          <w:i/>
        </w:rPr>
        <w:t>See Jin Bo Zhao</w:t>
      </w:r>
      <w:r w:rsidRPr="0079374E">
        <w:rPr>
          <w:bCs/>
          <w:i/>
          <w:iCs/>
        </w:rPr>
        <w:t xml:space="preserve"> v. INS</w:t>
      </w:r>
      <w:r w:rsidRPr="0079374E">
        <w:t>, 452 F.3d 154 (2d Cir. 2006)</w:t>
      </w:r>
      <w:r w:rsidR="008C4368" w:rsidRPr="0079374E">
        <w:t xml:space="preserve">. </w:t>
      </w:r>
      <w:r w:rsidR="008C4368" w:rsidRPr="0079374E">
        <w:rPr>
          <w:i/>
          <w:iCs/>
        </w:rPr>
        <w:t>See also, e.g.</w:t>
      </w:r>
      <w:r w:rsidR="008C4368" w:rsidRPr="0079374E">
        <w:t xml:space="preserve">, </w:t>
      </w:r>
      <w:r w:rsidRPr="0079374E">
        <w:rPr>
          <w:i/>
        </w:rPr>
        <w:t>Rodriguez-Lariz v. INS</w:t>
      </w:r>
      <w:r w:rsidRPr="0079374E">
        <w:t>, 282 F.3d 1218 (9th Cir. 2002)</w:t>
      </w:r>
      <w:r w:rsidR="00C845FF" w:rsidRPr="0079374E">
        <w:t>.</w:t>
      </w:r>
      <w:r w:rsidRPr="0079374E">
        <w:t xml:space="preserve"> Thus, </w:t>
      </w:r>
      <w:r w:rsidR="008C4368" w:rsidRPr="0079374E">
        <w:t xml:space="preserve">any </w:t>
      </w:r>
      <w:r w:rsidRPr="0079374E">
        <w:t xml:space="preserve">time and numeric </w:t>
      </w:r>
      <w:r w:rsidR="008C4368" w:rsidRPr="0079374E">
        <w:t xml:space="preserve">requirements as to </w:t>
      </w:r>
      <w:r w:rsidRPr="0079374E">
        <w:t>motions to reconsider</w:t>
      </w:r>
      <w:r w:rsidR="008C4368" w:rsidRPr="0079374E">
        <w:t xml:space="preserve"> or reopen</w:t>
      </w:r>
      <w:r w:rsidRPr="0079374E">
        <w:t xml:space="preserve"> in this case are subject to equitable tolling. </w:t>
      </w:r>
    </w:p>
    <w:p w14:paraId="2389A666" w14:textId="496B312E" w:rsidR="00184629" w:rsidRPr="0079374E" w:rsidRDefault="00184629" w:rsidP="00D6244C">
      <w:pPr>
        <w:pStyle w:val="ListParagraph"/>
        <w:numPr>
          <w:ilvl w:val="0"/>
          <w:numId w:val="13"/>
        </w:num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left="1440" w:hanging="720"/>
        <w:jc w:val="both"/>
        <w:rPr>
          <w:b/>
        </w:rPr>
      </w:pPr>
      <w:r w:rsidRPr="0079374E">
        <w:rPr>
          <w:b/>
          <w:iCs/>
        </w:rPr>
        <w:t xml:space="preserve">Respondent </w:t>
      </w:r>
      <w:r w:rsidR="00EB3530" w:rsidRPr="0079374E">
        <w:rPr>
          <w:b/>
          <w:iCs/>
        </w:rPr>
        <w:t xml:space="preserve">Has </w:t>
      </w:r>
      <w:r w:rsidRPr="0079374E">
        <w:rPr>
          <w:b/>
          <w:iCs/>
        </w:rPr>
        <w:t xml:space="preserve">Diligently </w:t>
      </w:r>
      <w:r w:rsidR="00EB3530" w:rsidRPr="0079374E">
        <w:rPr>
          <w:b/>
          <w:iCs/>
        </w:rPr>
        <w:t xml:space="preserve">Pursued </w:t>
      </w:r>
      <w:r w:rsidR="009B21B9" w:rsidRPr="0079374E">
        <w:rPr>
          <w:b/>
          <w:iCs/>
        </w:rPr>
        <w:t>[</w:t>
      </w:r>
      <w:r w:rsidRPr="0079374E">
        <w:rPr>
          <w:b/>
          <w:iCs/>
        </w:rPr>
        <w:t>His</w:t>
      </w:r>
      <w:r w:rsidR="009B21B9" w:rsidRPr="0079374E">
        <w:rPr>
          <w:b/>
          <w:iCs/>
        </w:rPr>
        <w:t>/Her</w:t>
      </w:r>
      <w:r w:rsidR="00700A95" w:rsidRPr="0079374E">
        <w:rPr>
          <w:b/>
          <w:iCs/>
        </w:rPr>
        <w:t>/Their</w:t>
      </w:r>
      <w:r w:rsidR="009B21B9" w:rsidRPr="0079374E">
        <w:rPr>
          <w:b/>
          <w:iCs/>
        </w:rPr>
        <w:t>]</w:t>
      </w:r>
      <w:r w:rsidRPr="0079374E">
        <w:rPr>
          <w:b/>
          <w:iCs/>
        </w:rPr>
        <w:t xml:space="preserve"> Rights and </w:t>
      </w:r>
      <w:r w:rsidRPr="0079374E">
        <w:rPr>
          <w:b/>
        </w:rPr>
        <w:t xml:space="preserve">Extraordinary Circumstances Prevented Filing of </w:t>
      </w:r>
      <w:r w:rsidR="009B21B9" w:rsidRPr="0079374E">
        <w:rPr>
          <w:b/>
        </w:rPr>
        <w:t xml:space="preserve">This </w:t>
      </w:r>
      <w:r w:rsidRPr="0079374E">
        <w:rPr>
          <w:b/>
        </w:rPr>
        <w:t>Motion</w:t>
      </w:r>
      <w:r w:rsidR="009B21B9" w:rsidRPr="0079374E">
        <w:rPr>
          <w:b/>
        </w:rPr>
        <w:t xml:space="preserve"> Within 30 or 90 Days of the Removal Order</w:t>
      </w:r>
    </w:p>
    <w:p w14:paraId="72C16C52" w14:textId="77777777" w:rsidR="00184629" w:rsidRPr="0079374E" w:rsidRDefault="00184629" w:rsidP="00184629">
      <w:pPr>
        <w:autoSpaceDE w:val="0"/>
        <w:autoSpaceDN w:val="0"/>
        <w:adjustRightInd w:val="0"/>
        <w:jc w:val="both"/>
        <w:rPr>
          <w:b/>
          <w:iCs/>
        </w:rPr>
      </w:pPr>
    </w:p>
    <w:p w14:paraId="01657AC2" w14:textId="6E59C051" w:rsidR="00184629" w:rsidRPr="0079374E"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79374E">
        <w:tab/>
        <w:t xml:space="preserve">The </w:t>
      </w:r>
      <w:r w:rsidR="00266BD2" w:rsidRPr="0079374E">
        <w:t>Second Circuit’s</w:t>
      </w:r>
      <w:r w:rsidRPr="0079374E">
        <w:t xml:space="preserve"> decision in </w:t>
      </w:r>
      <w:r w:rsidR="009B21B9" w:rsidRPr="0079374E">
        <w:rPr>
          <w:i/>
        </w:rPr>
        <w:t>Minter</w:t>
      </w:r>
      <w:r w:rsidR="009B21B9" w:rsidRPr="0079374E">
        <w:t xml:space="preserve"> </w:t>
      </w:r>
      <w:r w:rsidR="00E94BA9" w:rsidRPr="0079374E">
        <w:t>constitutes an extraordinary circumstance</w:t>
      </w:r>
      <w:r w:rsidRPr="0079374E">
        <w:t xml:space="preserve"> </w:t>
      </w:r>
      <w:r w:rsidR="00E94BA9" w:rsidRPr="0079374E">
        <w:t>that calls for e</w:t>
      </w:r>
      <w:r w:rsidRPr="0079374E">
        <w:t xml:space="preserve">quitable tolling of the motion deadline in this case. </w:t>
      </w:r>
      <w:r w:rsidR="009B21B9" w:rsidRPr="0079374E">
        <w:t>Respondent has acted with the requisite reasonable diligence that further calls for equitable tolling of the motion deadline in this case.</w:t>
      </w:r>
    </w:p>
    <w:p w14:paraId="2D23066C" w14:textId="55D41F5B" w:rsidR="00184629" w:rsidRPr="0079374E" w:rsidRDefault="00184629" w:rsidP="00F71E9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79374E">
        <w:tab/>
      </w:r>
      <w:r w:rsidR="009B21B9" w:rsidRPr="0079374E">
        <w:t xml:space="preserve">Respondent </w:t>
      </w:r>
      <w:r w:rsidR="003E7C48" w:rsidRPr="0079374E">
        <w:t>vigorously pursued defenses to removal</w:t>
      </w:r>
      <w:r w:rsidR="009B21B9" w:rsidRPr="0079374E">
        <w:t xml:space="preserve"> as best possible</w:t>
      </w:r>
      <w:r w:rsidR="003E7C48" w:rsidRPr="0079374E">
        <w:t xml:space="preserve"> </w:t>
      </w:r>
      <w:r w:rsidR="00321C9D" w:rsidRPr="0079374E">
        <w:rPr>
          <w:b/>
          <w:bCs/>
        </w:rPr>
        <w:t>[</w:t>
      </w:r>
      <w:r w:rsidR="009B21B9" w:rsidRPr="0079374E">
        <w:rPr>
          <w:b/>
          <w:bCs/>
        </w:rPr>
        <w:t xml:space="preserve">and </w:t>
      </w:r>
      <w:r w:rsidR="003E7C48" w:rsidRPr="0079374E">
        <w:rPr>
          <w:b/>
          <w:bCs/>
        </w:rPr>
        <w:t xml:space="preserve">all the way through the petition for review </w:t>
      </w:r>
      <w:r w:rsidR="00321C9D" w:rsidRPr="0079374E">
        <w:rPr>
          <w:b/>
          <w:bCs/>
        </w:rPr>
        <w:t>stage]</w:t>
      </w:r>
      <w:r w:rsidR="003E7C48" w:rsidRPr="0079374E">
        <w:t>.</w:t>
      </w:r>
      <w:r w:rsidR="009B21B9" w:rsidRPr="0079374E">
        <w:t xml:space="preserve"> This Board nevertheless applied what it believed to be </w:t>
      </w:r>
      <w:r w:rsidR="009B21B9" w:rsidRPr="0079374E">
        <w:lastRenderedPageBreak/>
        <w:t xml:space="preserve">the </w:t>
      </w:r>
      <w:r w:rsidR="003E7C48" w:rsidRPr="0079374E">
        <w:t>law in place at the time</w:t>
      </w:r>
      <w:r w:rsidR="009B21B9" w:rsidRPr="0079374E">
        <w:t xml:space="preserve"> and ordered Respondent removed after holding or treating Respondent’s prior </w:t>
      </w:r>
      <w:r w:rsidR="003442E2" w:rsidRPr="0079374E">
        <w:rPr>
          <w:b/>
          <w:bCs/>
        </w:rPr>
        <w:t xml:space="preserve">[“cocaine” or </w:t>
      </w:r>
      <w:r w:rsidR="009B21B9" w:rsidRPr="0079374E">
        <w:rPr>
          <w:b/>
          <w:bCs/>
        </w:rPr>
        <w:t>“narcotic drug”</w:t>
      </w:r>
      <w:r w:rsidR="003442E2" w:rsidRPr="0079374E">
        <w:rPr>
          <w:b/>
          <w:bCs/>
        </w:rPr>
        <w:t>]</w:t>
      </w:r>
      <w:r w:rsidR="009B21B9" w:rsidRPr="0079374E">
        <w:t xml:space="preserve"> conviction as an aggravated felony or offense relating to a controlled substance. </w:t>
      </w:r>
      <w:r w:rsidR="009B21B9" w:rsidRPr="0079374E">
        <w:rPr>
          <w:i/>
        </w:rPr>
        <w:t>Minter</w:t>
      </w:r>
      <w:r w:rsidR="003E7C48" w:rsidRPr="0079374E">
        <w:t xml:space="preserve"> is</w:t>
      </w:r>
      <w:r w:rsidR="009B21B9" w:rsidRPr="0079374E">
        <w:t xml:space="preserve"> now</w:t>
      </w:r>
      <w:r w:rsidR="003E7C48" w:rsidRPr="0079374E">
        <w:t xml:space="preserve"> the first and only case where the Second Circuit</w:t>
      </w:r>
      <w:r w:rsidR="009B21B9" w:rsidRPr="0079374E">
        <w:t xml:space="preserve"> has expressly decided that New York’s definition of “cocaine” is categorically overbroad</w:t>
      </w:r>
      <w:r w:rsidR="00694D11">
        <w:t>, rendering the term “narcotic drug” also overbroad beginning in 1978</w:t>
      </w:r>
      <w:r w:rsidR="009B21B9" w:rsidRPr="0079374E">
        <w:t xml:space="preserve">. </w:t>
      </w:r>
      <w:r w:rsidR="00285656" w:rsidRPr="0079374E">
        <w:t xml:space="preserve">The extraordinary circumstance in this case is that the Second Circuit has </w:t>
      </w:r>
      <w:r w:rsidR="00321C9D" w:rsidRPr="0079374E">
        <w:t>now issued a clear holding that dictates that grounds for</w:t>
      </w:r>
      <w:r w:rsidR="009B21B9" w:rsidRPr="0079374E">
        <w:t xml:space="preserve"> Respondent’s</w:t>
      </w:r>
      <w:r w:rsidR="00321C9D" w:rsidRPr="0079374E">
        <w:t xml:space="preserve"> removal order no longer apply</w:t>
      </w:r>
      <w:r w:rsidR="00285656" w:rsidRPr="0079374E">
        <w:t xml:space="preserve">. That the court’s new holding on this question did not issue until </w:t>
      </w:r>
      <w:r w:rsidR="00321C9D" w:rsidRPr="0079374E">
        <w:t>2023</w:t>
      </w:r>
      <w:r w:rsidR="00285656" w:rsidRPr="0079374E">
        <w:t xml:space="preserve"> is the only reason that </w:t>
      </w:r>
      <w:r w:rsidR="009B21B9" w:rsidRPr="0079374E">
        <w:t>Respondent</w:t>
      </w:r>
      <w:r w:rsidR="00285656" w:rsidRPr="0079374E">
        <w:t xml:space="preserve"> did not</w:t>
      </w:r>
      <w:r w:rsidR="009B21B9" w:rsidRPr="0079374E">
        <w:t xml:space="preserve"> and could not file this motion within 30 or 90 days of the removal order.</w:t>
      </w:r>
      <w:r w:rsidR="00EB3530" w:rsidRPr="0079374E">
        <w:t xml:space="preserve"> Respondent diligently pursued </w:t>
      </w:r>
      <w:r w:rsidR="00EB3530" w:rsidRPr="0079374E">
        <w:rPr>
          <w:b/>
          <w:bCs/>
        </w:rPr>
        <w:t>[his/her/their]</w:t>
      </w:r>
      <w:r w:rsidR="00EB3530" w:rsidRPr="0079374E">
        <w:t xml:space="preserve"> rights prior to the issuance of </w:t>
      </w:r>
      <w:r w:rsidR="00EB3530" w:rsidRPr="0079374E">
        <w:rPr>
          <w:i/>
          <w:iCs/>
        </w:rPr>
        <w:t>Minter</w:t>
      </w:r>
      <w:r w:rsidR="00EB3530" w:rsidRPr="0079374E">
        <w:t>.</w:t>
      </w:r>
      <w:r w:rsidR="00285656" w:rsidRPr="0079374E">
        <w:t xml:space="preserve"> </w:t>
      </w:r>
    </w:p>
    <w:p w14:paraId="33BA1B94" w14:textId="5FD61950" w:rsidR="00184629" w:rsidRPr="0079374E"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79374E">
        <w:tab/>
      </w:r>
      <w:r w:rsidR="009B21B9" w:rsidRPr="0079374E">
        <w:t xml:space="preserve">Since the </w:t>
      </w:r>
      <w:r w:rsidR="009B21B9" w:rsidRPr="0079374E">
        <w:rPr>
          <w:i/>
          <w:iCs/>
        </w:rPr>
        <w:t xml:space="preserve">Minter </w:t>
      </w:r>
      <w:r w:rsidR="009B21B9" w:rsidRPr="0079374E">
        <w:t xml:space="preserve">decision, </w:t>
      </w:r>
      <w:r w:rsidR="009B21B9" w:rsidRPr="0079374E">
        <w:rPr>
          <w:iCs/>
        </w:rPr>
        <w:t>Respondent</w:t>
      </w:r>
      <w:r w:rsidRPr="0079374E">
        <w:t xml:space="preserve"> has </w:t>
      </w:r>
      <w:r w:rsidR="008C45A9" w:rsidRPr="0079374E">
        <w:t xml:space="preserve">also </w:t>
      </w:r>
      <w:r w:rsidRPr="0079374E">
        <w:t xml:space="preserve">exhibited the requisite diligence. </w:t>
      </w:r>
      <w:r w:rsidR="008C45A9" w:rsidRPr="0079374E">
        <w:t xml:space="preserve">Respondent </w:t>
      </w:r>
      <w:r w:rsidRPr="0079374E">
        <w:t xml:space="preserve">first learned of the decision on </w:t>
      </w:r>
      <w:r w:rsidR="00321C9D" w:rsidRPr="0079374E">
        <w:rPr>
          <w:b/>
          <w:bCs/>
        </w:rPr>
        <w:t>[date]</w:t>
      </w:r>
      <w:r w:rsidR="008C45A9" w:rsidRPr="0079374E">
        <w:t xml:space="preserve">. Respondent </w:t>
      </w:r>
      <w:r w:rsidRPr="0079374E">
        <w:t xml:space="preserve">is filing the instant motion within </w:t>
      </w:r>
      <w:r w:rsidR="001B1ADB" w:rsidRPr="0079374E">
        <w:rPr>
          <w:b/>
          <w:bCs/>
        </w:rPr>
        <w:t>[number]</w:t>
      </w:r>
      <w:r w:rsidRPr="0079374E">
        <w:t xml:space="preserve"> days of discovering that</w:t>
      </w:r>
      <w:r w:rsidR="001B1ADB" w:rsidRPr="0079374E">
        <w:t xml:space="preserve"> the Second Circuit has now clarified that the BIA was wrong as a matter of law in finding Respondent’s prior conviction to be an aggravated felony or offense relating to a controlled substance. Respondent is doing so </w:t>
      </w:r>
      <w:r w:rsidRPr="0079374E">
        <w:t>as soon as practicable and</w:t>
      </w:r>
      <w:r w:rsidR="001B1ADB" w:rsidRPr="0079374E">
        <w:t xml:space="preserve"> therefore</w:t>
      </w:r>
      <w:r w:rsidRPr="0079374E">
        <w:t xml:space="preserve"> has displayed reasonable diligence in pursuing rights.</w:t>
      </w:r>
    </w:p>
    <w:p w14:paraId="05C0C08B" w14:textId="2E12EF01" w:rsidR="00184629" w:rsidRPr="0079374E" w:rsidRDefault="54F36C92" w:rsidP="372270E2">
      <w:pPr>
        <w:pStyle w:val="ListParagraph"/>
        <w:numPr>
          <w:ilvl w:val="0"/>
          <w:numId w:val="9"/>
        </w:numPr>
        <w:autoSpaceDE w:val="0"/>
        <w:autoSpaceDN w:val="0"/>
        <w:adjustRightInd w:val="0"/>
        <w:ind w:hanging="720"/>
        <w:jc w:val="both"/>
        <w:rPr>
          <w:b/>
          <w:bCs/>
        </w:rPr>
      </w:pPr>
      <w:r w:rsidRPr="0079374E">
        <w:rPr>
          <w:b/>
          <w:bCs/>
        </w:rPr>
        <w:t>[</w:t>
      </w:r>
      <w:r w:rsidR="003442E2" w:rsidRPr="0079374E">
        <w:rPr>
          <w:b/>
          <w:bCs/>
        </w:rPr>
        <w:t>IF DEPARTED</w:t>
      </w:r>
      <w:r w:rsidR="00F91159" w:rsidRPr="0079374E">
        <w:rPr>
          <w:b/>
          <w:bCs/>
        </w:rPr>
        <w:t>, ADD</w:t>
      </w:r>
      <w:r w:rsidR="003442E2" w:rsidRPr="0079374E">
        <w:rPr>
          <w:b/>
          <w:bCs/>
        </w:rPr>
        <w:t xml:space="preserve">: </w:t>
      </w:r>
      <w:r w:rsidR="001B1ADB" w:rsidRPr="0079374E">
        <w:rPr>
          <w:b/>
          <w:bCs/>
        </w:rPr>
        <w:t xml:space="preserve">The Regulatory “Departure Bar” Does not Apply to or Bar </w:t>
      </w:r>
      <w:r w:rsidR="00184629" w:rsidRPr="0079374E">
        <w:rPr>
          <w:b/>
          <w:bCs/>
        </w:rPr>
        <w:t>Respondent’s Motion</w:t>
      </w:r>
      <w:r w:rsidR="001B1ADB" w:rsidRPr="0079374E">
        <w:rPr>
          <w:b/>
          <w:bCs/>
        </w:rPr>
        <w:t>]</w:t>
      </w:r>
      <w:r w:rsidR="00184629" w:rsidRPr="0079374E">
        <w:rPr>
          <w:b/>
          <w:bCs/>
        </w:rPr>
        <w:t xml:space="preserve"> </w:t>
      </w:r>
    </w:p>
    <w:p w14:paraId="4EA74011" w14:textId="77777777" w:rsidR="00184629" w:rsidRPr="0079374E" w:rsidRDefault="00184629" w:rsidP="00184629">
      <w:pPr>
        <w:pStyle w:val="ListParagraph"/>
        <w:autoSpaceDE w:val="0"/>
        <w:autoSpaceDN w:val="0"/>
        <w:adjustRightInd w:val="0"/>
        <w:jc w:val="both"/>
        <w:rPr>
          <w:b/>
          <w:iCs/>
        </w:rPr>
      </w:pPr>
    </w:p>
    <w:p w14:paraId="371327CD" w14:textId="1A195D45" w:rsidR="00257267" w:rsidRPr="0079374E" w:rsidRDefault="00AA5C88" w:rsidP="001B1ADB">
      <w:pPr>
        <w:spacing w:line="480" w:lineRule="auto"/>
        <w:ind w:firstLine="720"/>
      </w:pPr>
      <w:r w:rsidRPr="0079374E">
        <w:rPr>
          <w:b/>
          <w:bCs/>
        </w:rPr>
        <w:t>[</w:t>
      </w:r>
      <w:r w:rsidR="00F71E9E" w:rsidRPr="0079374E">
        <w:t>A regulation</w:t>
      </w:r>
      <w:r w:rsidR="001B1ADB" w:rsidRPr="0079374E">
        <w:t xml:space="preserve"> has been read to</w:t>
      </w:r>
      <w:r w:rsidR="00F71E9E" w:rsidRPr="0079374E">
        <w:t xml:space="preserve"> prescribe that a </w:t>
      </w:r>
      <w:r w:rsidR="00184629" w:rsidRPr="0079374E">
        <w:t>motion to reconsider</w:t>
      </w:r>
      <w:r w:rsidR="001B1ADB" w:rsidRPr="0079374E">
        <w:t xml:space="preserve"> or reopen</w:t>
      </w:r>
      <w:r w:rsidR="00184629" w:rsidRPr="0079374E">
        <w:t xml:space="preserve"> should not be accepted by an individual who </w:t>
      </w:r>
      <w:r w:rsidR="001B1ADB" w:rsidRPr="0079374E">
        <w:t>has been</w:t>
      </w:r>
      <w:r w:rsidR="00184629" w:rsidRPr="0079374E">
        <w:t xml:space="preserve"> subject to removal proceedings and has departed from the United States. </w:t>
      </w:r>
      <w:r w:rsidR="001B1ADB" w:rsidRPr="0079374E">
        <w:rPr>
          <w:i/>
          <w:iCs/>
        </w:rPr>
        <w:t xml:space="preserve">See </w:t>
      </w:r>
      <w:r w:rsidR="00184629" w:rsidRPr="0079374E">
        <w:t>8 C.F.R. § 1003.2(d).  However, the Second Circuit has invalidated</w:t>
      </w:r>
      <w:r w:rsidR="001B1ADB" w:rsidRPr="0079374E">
        <w:t xml:space="preserve"> this regulation </w:t>
      </w:r>
      <w:r w:rsidR="00184629" w:rsidRPr="0079374E">
        <w:t>in the context of statuto</w:t>
      </w:r>
      <w:r w:rsidR="00FA6798" w:rsidRPr="0079374E">
        <w:t>ry motions</w:t>
      </w:r>
      <w:r w:rsidR="00184629" w:rsidRPr="0079374E">
        <w:t xml:space="preserve">. </w:t>
      </w:r>
      <w:r w:rsidR="00184629" w:rsidRPr="0079374E">
        <w:rPr>
          <w:i/>
        </w:rPr>
        <w:t>See Luna v. Holder</w:t>
      </w:r>
      <w:r w:rsidR="00184629" w:rsidRPr="0079374E">
        <w:t>, 637 F.3d 85, 100 (2d Cir. 2011) (</w:t>
      </w:r>
      <w:r w:rsidR="00184629" w:rsidRPr="0079374E">
        <w:rPr>
          <w:i/>
        </w:rPr>
        <w:t xml:space="preserve">overruling Matter of </w:t>
      </w:r>
      <w:proofErr w:type="spellStart"/>
      <w:r w:rsidR="00184629" w:rsidRPr="0079374E">
        <w:rPr>
          <w:i/>
        </w:rPr>
        <w:t>Armendarez</w:t>
      </w:r>
      <w:proofErr w:type="spellEnd"/>
      <w:r w:rsidR="00184629" w:rsidRPr="0079374E">
        <w:rPr>
          <w:i/>
        </w:rPr>
        <w:t>-Mendez</w:t>
      </w:r>
      <w:r w:rsidR="00184629" w:rsidRPr="0079374E">
        <w:t>, 24 I&amp;N Dec. 646, 653-60 (BIA 2008)</w:t>
      </w:r>
      <w:r w:rsidR="001B1ADB" w:rsidRPr="0079374E">
        <w:t>)</w:t>
      </w:r>
      <w:r w:rsidR="00184629" w:rsidRPr="0079374E">
        <w:t xml:space="preserve">. The </w:t>
      </w:r>
      <w:r w:rsidR="001B1ADB" w:rsidRPr="0079374E">
        <w:lastRenderedPageBreak/>
        <w:t xml:space="preserve">court </w:t>
      </w:r>
      <w:r w:rsidR="00184629" w:rsidRPr="0079374E">
        <w:t xml:space="preserve">in </w:t>
      </w:r>
      <w:r w:rsidR="00184629" w:rsidRPr="0079374E">
        <w:rPr>
          <w:i/>
        </w:rPr>
        <w:t>Luna</w:t>
      </w:r>
      <w:r w:rsidR="00184629" w:rsidRPr="0079374E">
        <w:t xml:space="preserve"> </w:t>
      </w:r>
      <w:r w:rsidR="001B1ADB" w:rsidRPr="0079374E">
        <w:t xml:space="preserve">further </w:t>
      </w:r>
      <w:r w:rsidR="00184629" w:rsidRPr="0079374E">
        <w:t>clarified that</w:t>
      </w:r>
      <w:r w:rsidR="001B1ADB" w:rsidRPr="0079374E">
        <w:t xml:space="preserve"> this includes motions where a filing deadline is equitably tolled. </w:t>
      </w:r>
      <w:r w:rsidR="00184629" w:rsidRPr="0079374E">
        <w:rPr>
          <w:i/>
        </w:rPr>
        <w:t>Id.</w:t>
      </w:r>
      <w:r w:rsidR="00184629" w:rsidRPr="0079374E">
        <w:t xml:space="preserve"> at 95. </w:t>
      </w:r>
      <w:r w:rsidR="001B1ADB" w:rsidRPr="0079374E">
        <w:t>Because the instant motion is a statutory motion, this regulation does not apply.</w:t>
      </w:r>
      <w:r w:rsidR="003442E2" w:rsidRPr="0079374E">
        <w:rPr>
          <w:b/>
          <w:bCs/>
        </w:rPr>
        <w:t>]</w:t>
      </w:r>
    </w:p>
    <w:p w14:paraId="12F73DFE" w14:textId="1B01C60C" w:rsidR="00AA5C88" w:rsidRPr="0079374E" w:rsidRDefault="00AA5C88" w:rsidP="00060D80">
      <w:pPr>
        <w:spacing w:line="480" w:lineRule="auto"/>
        <w:ind w:firstLine="720"/>
        <w:rPr>
          <w:b/>
          <w:bCs/>
        </w:rPr>
      </w:pPr>
      <w:r w:rsidRPr="0079374E">
        <w:t xml:space="preserve">In addition, </w:t>
      </w:r>
      <w:r w:rsidR="00060D80" w:rsidRPr="0079374E">
        <w:t>t</w:t>
      </w:r>
      <w:r w:rsidR="006B69B3" w:rsidRPr="0079374E">
        <w:t>he departure bar regulation, 8 C.F.R. § 1003.2(d), does not bar th</w:t>
      </w:r>
      <w:r w:rsidR="00060D80" w:rsidRPr="0079374E">
        <w:t xml:space="preserve">e </w:t>
      </w:r>
      <w:proofErr w:type="spellStart"/>
      <w:r w:rsidR="00060D80" w:rsidRPr="0079374E">
        <w:rPr>
          <w:i/>
          <w:iCs/>
        </w:rPr>
        <w:t>sua</w:t>
      </w:r>
      <w:proofErr w:type="spellEnd"/>
      <w:r w:rsidR="00060D80" w:rsidRPr="0079374E">
        <w:rPr>
          <w:i/>
          <w:iCs/>
        </w:rPr>
        <w:t xml:space="preserve"> sponte</w:t>
      </w:r>
      <w:r w:rsidR="00060D80" w:rsidRPr="0079374E">
        <w:t xml:space="preserve"> component of this</w:t>
      </w:r>
      <w:r w:rsidR="006B69B3" w:rsidRPr="0079374E">
        <w:t xml:space="preserve"> motion. Under the plain language of the regulation, it applies only to only to motions filed by the parties. </w:t>
      </w:r>
      <w:r w:rsidR="006B69B3" w:rsidRPr="0079374E">
        <w:rPr>
          <w:i/>
          <w:iCs/>
        </w:rPr>
        <w:t>See Reyes-Vargas v. Barr</w:t>
      </w:r>
      <w:r w:rsidR="006B69B3" w:rsidRPr="0079374E">
        <w:t xml:space="preserve">, 958 F.3d 1295, 1305-06 (10th Cir. 2020); </w:t>
      </w:r>
      <w:r w:rsidR="006B69B3" w:rsidRPr="0079374E">
        <w:rPr>
          <w:i/>
          <w:iCs/>
        </w:rPr>
        <w:t>Rubalcaba v. Garland</w:t>
      </w:r>
      <w:r w:rsidR="006B69B3" w:rsidRPr="0079374E">
        <w:t xml:space="preserve">, 998 F.3d 1031 (9th Cir. 2021). Requests that the BIA exercise its </w:t>
      </w:r>
      <w:proofErr w:type="spellStart"/>
      <w:r w:rsidR="006B69B3" w:rsidRPr="0079374E">
        <w:rPr>
          <w:i/>
          <w:iCs/>
        </w:rPr>
        <w:t>sua</w:t>
      </w:r>
      <w:proofErr w:type="spellEnd"/>
      <w:r w:rsidR="006B69B3" w:rsidRPr="0079374E">
        <w:rPr>
          <w:i/>
          <w:iCs/>
        </w:rPr>
        <w:t xml:space="preserve"> sponte</w:t>
      </w:r>
      <w:r w:rsidR="006B69B3" w:rsidRPr="0079374E">
        <w:t xml:space="preserve"> authority are authorized by separate authority and are not constrained by the regulation. </w:t>
      </w:r>
      <w:r w:rsidR="006B69B3" w:rsidRPr="0079374E">
        <w:rPr>
          <w:i/>
          <w:iCs/>
        </w:rPr>
        <w:t>Id</w:t>
      </w:r>
      <w:r w:rsidR="006B69B3" w:rsidRPr="0079374E">
        <w:t xml:space="preserve">. Although the Second Circuit has deferred to the BIA’s interpretation that the departure bar applies to </w:t>
      </w:r>
      <w:proofErr w:type="spellStart"/>
      <w:r w:rsidR="006B69B3" w:rsidRPr="0079374E">
        <w:rPr>
          <w:i/>
          <w:iCs/>
        </w:rPr>
        <w:t>sua</w:t>
      </w:r>
      <w:proofErr w:type="spellEnd"/>
      <w:r w:rsidR="006B69B3" w:rsidRPr="0079374E">
        <w:rPr>
          <w:i/>
          <w:iCs/>
        </w:rPr>
        <w:t xml:space="preserve"> sponte</w:t>
      </w:r>
      <w:r w:rsidR="006B69B3" w:rsidRPr="0079374E">
        <w:t xml:space="preserve"> reopening, </w:t>
      </w:r>
      <w:r w:rsidR="006B69B3" w:rsidRPr="0079374E">
        <w:rPr>
          <w:i/>
          <w:iCs/>
        </w:rPr>
        <w:t>see Zhang v. Holder</w:t>
      </w:r>
      <w:r w:rsidR="006B69B3" w:rsidRPr="0079374E">
        <w:t xml:space="preserve">, 617 F.3d 650 (2d Cir. 2010), that decision was superseded by the Supreme Court’s decision in </w:t>
      </w:r>
      <w:proofErr w:type="spellStart"/>
      <w:r w:rsidR="006B69B3" w:rsidRPr="0079374E">
        <w:rPr>
          <w:i/>
          <w:iCs/>
        </w:rPr>
        <w:t>Kisor</w:t>
      </w:r>
      <w:proofErr w:type="spellEnd"/>
      <w:r w:rsidR="006B69B3" w:rsidRPr="0079374E">
        <w:rPr>
          <w:i/>
          <w:iCs/>
        </w:rPr>
        <w:t xml:space="preserve"> v. </w:t>
      </w:r>
      <w:proofErr w:type="spellStart"/>
      <w:r w:rsidR="006B69B3" w:rsidRPr="0079374E">
        <w:rPr>
          <w:i/>
          <w:iCs/>
        </w:rPr>
        <w:t>Wilkie</w:t>
      </w:r>
      <w:proofErr w:type="spellEnd"/>
      <w:r w:rsidR="006B69B3" w:rsidRPr="0079374E">
        <w:t>, 139 S. Ct. 2400, 2415 (2019) (narrowing deference provided to agency interpretations of regulations).</w:t>
      </w:r>
      <w:r w:rsidR="00404C33" w:rsidRPr="0079374E">
        <w:rPr>
          <w:b/>
          <w:bCs/>
        </w:rPr>
        <w:t>]</w:t>
      </w:r>
      <w:r w:rsidR="00060D80" w:rsidRPr="0079374E">
        <w:t>.</w:t>
      </w:r>
    </w:p>
    <w:p w14:paraId="5272EB39" w14:textId="73C983AE" w:rsidR="00257267" w:rsidRPr="0079374E" w:rsidRDefault="00257267" w:rsidP="00CB2222">
      <w:pPr>
        <w:pStyle w:val="ListParagraph"/>
        <w:numPr>
          <w:ilvl w:val="0"/>
          <w:numId w:val="9"/>
        </w:numPr>
        <w:jc w:val="both"/>
        <w:rPr>
          <w:iCs/>
        </w:rPr>
      </w:pPr>
      <w:r w:rsidRPr="0079374E">
        <w:rPr>
          <w:b/>
          <w:bCs/>
          <w:iCs/>
        </w:rPr>
        <w:t>[IF A PRIOR MOTION TO RECONSIDER OR REOPEN WAS FILED, ADD: Respondent Merits Equitable Tolling on Any Numerical Limitations on Motions to Reconsider</w:t>
      </w:r>
      <w:r w:rsidR="00404C33" w:rsidRPr="0079374E">
        <w:rPr>
          <w:b/>
          <w:bCs/>
          <w:iCs/>
        </w:rPr>
        <w:t xml:space="preserve"> or Reopen</w:t>
      </w:r>
      <w:r w:rsidRPr="0079374E">
        <w:rPr>
          <w:b/>
          <w:bCs/>
          <w:iCs/>
        </w:rPr>
        <w:t xml:space="preserve"> Because the Second Circuit’s Decision in </w:t>
      </w:r>
      <w:r w:rsidRPr="0079374E">
        <w:rPr>
          <w:b/>
          <w:bCs/>
          <w:i/>
        </w:rPr>
        <w:t>Minter</w:t>
      </w:r>
      <w:r w:rsidRPr="0079374E">
        <w:rPr>
          <w:b/>
          <w:bCs/>
          <w:iCs/>
        </w:rPr>
        <w:t xml:space="preserve"> Is an Extraordinary Circumstance That Could </w:t>
      </w:r>
      <w:proofErr w:type="gramStart"/>
      <w:r w:rsidRPr="0079374E">
        <w:rPr>
          <w:b/>
          <w:bCs/>
          <w:iCs/>
        </w:rPr>
        <w:t>not</w:t>
      </w:r>
      <w:proofErr w:type="gramEnd"/>
      <w:r w:rsidRPr="0079374E">
        <w:rPr>
          <w:b/>
          <w:bCs/>
          <w:iCs/>
        </w:rPr>
        <w:t xml:space="preserve"> Have Been Raised in Any Previously Filed Motion</w:t>
      </w:r>
      <w:r w:rsidR="00404C33" w:rsidRPr="0079374E">
        <w:rPr>
          <w:b/>
          <w:bCs/>
          <w:iCs/>
        </w:rPr>
        <w:t xml:space="preserve"> to Reconsider and/or Reopen</w:t>
      </w:r>
      <w:r w:rsidRPr="0079374E">
        <w:rPr>
          <w:b/>
          <w:bCs/>
          <w:iCs/>
        </w:rPr>
        <w:t>]</w:t>
      </w:r>
    </w:p>
    <w:p w14:paraId="65946441" w14:textId="77777777" w:rsidR="00257267" w:rsidRPr="0079374E" w:rsidRDefault="00257267" w:rsidP="00257267">
      <w:pPr>
        <w:rPr>
          <w:iCs/>
        </w:rPr>
      </w:pPr>
    </w:p>
    <w:p w14:paraId="0790A0FE" w14:textId="13510370" w:rsidR="00404C33" w:rsidRPr="0079374E" w:rsidRDefault="00404C33" w:rsidP="00CB2222">
      <w:pPr>
        <w:spacing w:line="480" w:lineRule="auto"/>
        <w:ind w:firstLine="720"/>
        <w:rPr>
          <w:b/>
          <w:bCs/>
        </w:rPr>
      </w:pPr>
      <w:r w:rsidRPr="0079374E">
        <w:rPr>
          <w:b/>
          <w:bCs/>
          <w:iCs/>
        </w:rPr>
        <w:t>[</w:t>
      </w:r>
      <w:r w:rsidRPr="0079374E">
        <w:rPr>
          <w:iCs/>
        </w:rPr>
        <w:t xml:space="preserve">Any number-limitation on motions to reconsider or reopen must be equitably tolled because the Second Circuit holds that the number-limitation on such motions is subject to equitable tolling, and because it is warranted in Respondent’s case because Respondent could not have raised the </w:t>
      </w:r>
      <w:r w:rsidRPr="0079374E">
        <w:rPr>
          <w:i/>
        </w:rPr>
        <w:t>Minter</w:t>
      </w:r>
      <w:r w:rsidRPr="0079374E">
        <w:rPr>
          <w:iCs/>
        </w:rPr>
        <w:t xml:space="preserve"> decision in any previously filed motion to reconsider or reopen. </w:t>
      </w:r>
      <w:r w:rsidRPr="0079374E">
        <w:t xml:space="preserve">In general, a respondent may file one statutory motion to reconsider and one statutory motion to reopen. </w:t>
      </w:r>
      <w:r w:rsidRPr="0079374E">
        <w:rPr>
          <w:i/>
          <w:iCs/>
        </w:rPr>
        <w:t xml:space="preserve">See </w:t>
      </w:r>
      <w:r w:rsidRPr="0079374E">
        <w:t>INA §</w:t>
      </w:r>
      <w:r w:rsidR="00EB3530" w:rsidRPr="0079374E">
        <w:t>§</w:t>
      </w:r>
      <w:r w:rsidRPr="0079374E">
        <w:t xml:space="preserve"> 240(c)(6)(A)</w:t>
      </w:r>
      <w:r w:rsidR="00EB3530" w:rsidRPr="0079374E">
        <w:t>, 240(c)(7)(A)</w:t>
      </w:r>
      <w:r w:rsidRPr="0079374E">
        <w:t>; 8 C.F.R. §</w:t>
      </w:r>
      <w:r w:rsidR="00EB3530" w:rsidRPr="0079374E">
        <w:t>§</w:t>
      </w:r>
      <w:r w:rsidRPr="0079374E">
        <w:t xml:space="preserve"> 1003.2(b)(2)</w:t>
      </w:r>
      <w:r w:rsidR="00EB3530" w:rsidRPr="0079374E">
        <w:t>, 1003.2(c)(2)</w:t>
      </w:r>
      <w:r w:rsidRPr="0079374E">
        <w:t xml:space="preserve">. Both the time and number limitations are subject to equitable tolling. </w:t>
      </w:r>
      <w:r w:rsidRPr="0079374E">
        <w:rPr>
          <w:i/>
          <w:iCs/>
        </w:rPr>
        <w:t>See</w:t>
      </w:r>
      <w:r w:rsidRPr="0079374E">
        <w:t xml:space="preserve"> </w:t>
      </w:r>
      <w:proofErr w:type="spellStart"/>
      <w:r w:rsidRPr="0079374E">
        <w:rPr>
          <w:i/>
        </w:rPr>
        <w:t>Iavorski</w:t>
      </w:r>
      <w:proofErr w:type="spellEnd"/>
      <w:r w:rsidRPr="0079374E">
        <w:t xml:space="preserve">, 232 F.3d at 134 (holding the statutory deadlines are subject to equitable tolling; </w:t>
      </w:r>
      <w:r w:rsidRPr="0079374E">
        <w:rPr>
          <w:i/>
          <w:iCs/>
        </w:rPr>
        <w:t>Zhao</w:t>
      </w:r>
      <w:r w:rsidRPr="0079374E">
        <w:t>, 452 F.3d at 158-59 (holding the number limitations are subject to equitable tolling).</w:t>
      </w:r>
      <w:r w:rsidR="00EB3530" w:rsidRPr="0079374E">
        <w:t xml:space="preserve"> Respondent could not have </w:t>
      </w:r>
      <w:r w:rsidR="00EB3530" w:rsidRPr="0079374E">
        <w:lastRenderedPageBreak/>
        <w:t xml:space="preserve">raised the </w:t>
      </w:r>
      <w:r w:rsidR="00EB3530" w:rsidRPr="0079374E">
        <w:rPr>
          <w:i/>
          <w:iCs/>
        </w:rPr>
        <w:t>Minter</w:t>
      </w:r>
      <w:r w:rsidR="00EB3530" w:rsidRPr="0079374E">
        <w:t xml:space="preserve"> decision in any previously filed motion because the Second Circuit did not decide </w:t>
      </w:r>
      <w:r w:rsidR="00EB3530" w:rsidRPr="0079374E">
        <w:rPr>
          <w:i/>
          <w:iCs/>
        </w:rPr>
        <w:t>Minter</w:t>
      </w:r>
      <w:r w:rsidR="00EB3530" w:rsidRPr="0079374E">
        <w:t xml:space="preserve"> until September 6, 2023, and this is Respondent’s first motion to reconsider and/or reopen since that date. Equitable tolling of the one-motion limitation is warranted in this case and thus Respondent’s motion is not barred.</w:t>
      </w:r>
      <w:r w:rsidR="00EB3530" w:rsidRPr="0079374E">
        <w:rPr>
          <w:b/>
          <w:bCs/>
        </w:rPr>
        <w:t>]</w:t>
      </w:r>
    </w:p>
    <w:p w14:paraId="4EC8AAA8" w14:textId="7BBAB015" w:rsidR="00060D80" w:rsidRPr="0079374E" w:rsidRDefault="00060D80" w:rsidP="00D6244C">
      <w:pPr>
        <w:pStyle w:val="ListParagraph"/>
        <w:numPr>
          <w:ilvl w:val="0"/>
          <w:numId w:val="10"/>
        </w:numPr>
        <w:autoSpaceDE w:val="0"/>
        <w:autoSpaceDN w:val="0"/>
        <w:adjustRightInd w:val="0"/>
        <w:jc w:val="both"/>
        <w:rPr>
          <w:iCs/>
        </w:rPr>
      </w:pPr>
      <w:r w:rsidRPr="0079374E">
        <w:rPr>
          <w:b/>
          <w:bCs/>
          <w:iCs/>
        </w:rPr>
        <w:t>[IF OTHER BASES FOR RECONSIDERATION OR REOPENING EXIST, ADD THEM IN THIS SECTION, INCLUDING ANY APPLICABLE OR REQUIRED EQUITABLE TOLLING ARGUMENT]</w:t>
      </w:r>
    </w:p>
    <w:p w14:paraId="7C10405F" w14:textId="77777777" w:rsidR="00060D80" w:rsidRPr="0079374E" w:rsidRDefault="00060D80" w:rsidP="00CB2222">
      <w:pPr>
        <w:pStyle w:val="ListParagraph"/>
        <w:autoSpaceDE w:val="0"/>
        <w:autoSpaceDN w:val="0"/>
        <w:adjustRightInd w:val="0"/>
        <w:jc w:val="both"/>
        <w:rPr>
          <w:iCs/>
        </w:rPr>
      </w:pPr>
    </w:p>
    <w:p w14:paraId="7455BEFF" w14:textId="6F594568" w:rsidR="00184629" w:rsidRPr="0079374E" w:rsidRDefault="00184629" w:rsidP="00D6244C">
      <w:pPr>
        <w:pStyle w:val="ListParagraph"/>
        <w:numPr>
          <w:ilvl w:val="0"/>
          <w:numId w:val="10"/>
        </w:numPr>
        <w:autoSpaceDE w:val="0"/>
        <w:autoSpaceDN w:val="0"/>
        <w:adjustRightInd w:val="0"/>
        <w:jc w:val="both"/>
        <w:rPr>
          <w:iCs/>
        </w:rPr>
      </w:pPr>
      <w:r w:rsidRPr="0079374E">
        <w:rPr>
          <w:b/>
          <w:iCs/>
        </w:rPr>
        <w:t xml:space="preserve">In the Alternative, the Board Should Reconsider Respondent’s Removal Order </w:t>
      </w:r>
      <w:proofErr w:type="spellStart"/>
      <w:r w:rsidRPr="0079374E">
        <w:rPr>
          <w:b/>
          <w:i/>
        </w:rPr>
        <w:t>Sua</w:t>
      </w:r>
      <w:proofErr w:type="spellEnd"/>
      <w:r w:rsidRPr="0079374E">
        <w:rPr>
          <w:b/>
          <w:i/>
        </w:rPr>
        <w:t xml:space="preserve"> Sponte</w:t>
      </w:r>
      <w:r w:rsidRPr="0079374E">
        <w:rPr>
          <w:b/>
          <w:iCs/>
        </w:rPr>
        <w:t xml:space="preserve"> </w:t>
      </w:r>
    </w:p>
    <w:p w14:paraId="188D442F" w14:textId="77777777" w:rsidR="00184629" w:rsidRPr="0079374E" w:rsidRDefault="00184629" w:rsidP="00184629">
      <w:pPr>
        <w:autoSpaceDE w:val="0"/>
        <w:autoSpaceDN w:val="0"/>
        <w:adjustRightInd w:val="0"/>
        <w:jc w:val="both"/>
        <w:rPr>
          <w:iCs/>
        </w:rPr>
      </w:pPr>
    </w:p>
    <w:p w14:paraId="387CD809" w14:textId="143CEBA5" w:rsidR="001B1ADB" w:rsidRPr="0079374E" w:rsidRDefault="00184629" w:rsidP="00352AF8">
      <w:pPr>
        <w:autoSpaceDE w:val="0"/>
        <w:autoSpaceDN w:val="0"/>
        <w:adjustRightInd w:val="0"/>
        <w:spacing w:line="480" w:lineRule="auto"/>
      </w:pPr>
      <w:r w:rsidRPr="0079374E">
        <w:rPr>
          <w:iCs/>
        </w:rPr>
        <w:tab/>
        <w:t xml:space="preserve">An immigration judge or the Board may reopen or reconsider a case on its own motion at any time. </w:t>
      </w:r>
      <w:r w:rsidRPr="0079374E">
        <w:rPr>
          <w:i/>
          <w:iCs/>
        </w:rPr>
        <w:t xml:space="preserve">See </w:t>
      </w:r>
      <w:r w:rsidRPr="0079374E">
        <w:rPr>
          <w:iCs/>
        </w:rPr>
        <w:t xml:space="preserve">8 C.F.R. </w:t>
      </w:r>
      <w:r w:rsidRPr="0079374E">
        <w:t>§§ 1003.23(b)(1</w:t>
      </w:r>
      <w:r w:rsidR="00F71E9E" w:rsidRPr="0079374E">
        <w:t>)</w:t>
      </w:r>
      <w:r w:rsidR="001B1ADB" w:rsidRPr="0079374E">
        <w:t xml:space="preserve"> (establishing immigration judge authority)</w:t>
      </w:r>
      <w:r w:rsidR="00F71E9E" w:rsidRPr="0079374E">
        <w:t xml:space="preserve">, </w:t>
      </w:r>
      <w:r w:rsidRPr="0079374E">
        <w:t>1003.2(a)</w:t>
      </w:r>
      <w:r w:rsidR="001B1ADB" w:rsidRPr="0079374E">
        <w:t xml:space="preserve"> (establishing BIA authority)</w:t>
      </w:r>
      <w:r w:rsidRPr="0079374E">
        <w:t>.</w:t>
      </w:r>
      <w:r w:rsidR="006B69B3" w:rsidRPr="0079374E">
        <w:rPr>
          <w:rStyle w:val="FootnoteReference"/>
        </w:rPr>
        <w:footnoteReference w:id="3"/>
      </w:r>
      <w:r w:rsidRPr="0079374E">
        <w:t xml:space="preserve"> The Board invokes its authority to reopen or reconsider a case following fundamental changes in law. </w:t>
      </w:r>
      <w:r w:rsidRPr="0079374E">
        <w:rPr>
          <w:i/>
        </w:rPr>
        <w:t>See Matter of G-D-</w:t>
      </w:r>
      <w:r w:rsidRPr="0079374E">
        <w:t xml:space="preserve">, 22 I&amp;N Dec. </w:t>
      </w:r>
      <w:r w:rsidRPr="0079374E">
        <w:rPr>
          <w:bCs/>
        </w:rPr>
        <w:t>1132,</w:t>
      </w:r>
      <w:r w:rsidRPr="0079374E">
        <w:t xml:space="preserve"> 1135 (BIA 1999).</w:t>
      </w:r>
      <w:r w:rsidR="001B1ADB" w:rsidRPr="0079374E">
        <w:t xml:space="preserve"> The decision in </w:t>
      </w:r>
      <w:r w:rsidR="001B1ADB" w:rsidRPr="0079374E">
        <w:rPr>
          <w:i/>
          <w:iCs/>
        </w:rPr>
        <w:t>Minter</w:t>
      </w:r>
      <w:r w:rsidR="001B1ADB" w:rsidRPr="0079374E">
        <w:t xml:space="preserve"> is a fundamental change in law, as it has clarified that prior Board holdings—such as in Respondent’s case—were incorrect. Consequently, the Board </w:t>
      </w:r>
      <w:r w:rsidR="00D6244C" w:rsidRPr="0079374E">
        <w:t>must follow its o</w:t>
      </w:r>
      <w:r w:rsidR="00694D11">
        <w:t>w</w:t>
      </w:r>
      <w:r w:rsidR="00D6244C" w:rsidRPr="0079374E">
        <w:t xml:space="preserve">n precedent regarding </w:t>
      </w:r>
      <w:proofErr w:type="spellStart"/>
      <w:r w:rsidR="00D6244C" w:rsidRPr="0079374E">
        <w:rPr>
          <w:i/>
          <w:iCs/>
        </w:rPr>
        <w:t>sua</w:t>
      </w:r>
      <w:proofErr w:type="spellEnd"/>
      <w:r w:rsidR="00D6244C" w:rsidRPr="0079374E">
        <w:rPr>
          <w:i/>
          <w:iCs/>
        </w:rPr>
        <w:t xml:space="preserve"> sponte</w:t>
      </w:r>
      <w:r w:rsidR="00D6244C" w:rsidRPr="0079374E">
        <w:t xml:space="preserve"> reconsideration and reopening and do so in Respondent’s case.</w:t>
      </w:r>
    </w:p>
    <w:p w14:paraId="2EA50E66" w14:textId="010F6939" w:rsidR="00AE5C85" w:rsidRPr="0079374E" w:rsidRDefault="001B1ADB" w:rsidP="00D6244C">
      <w:pPr>
        <w:autoSpaceDE w:val="0"/>
        <w:autoSpaceDN w:val="0"/>
        <w:adjustRightInd w:val="0"/>
        <w:spacing w:line="480" w:lineRule="auto"/>
        <w:ind w:firstLine="720"/>
      </w:pPr>
      <w:r w:rsidRPr="0079374E">
        <w:lastRenderedPageBreak/>
        <w:t>In addition</w:t>
      </w:r>
      <w:r w:rsidR="00184629" w:rsidRPr="0079374E">
        <w:t xml:space="preserve"> is warranted in this case given</w:t>
      </w:r>
      <w:r w:rsidR="00D6244C" w:rsidRPr="0079374E">
        <w:t xml:space="preserve"> Respondent’s personal circumstances. </w:t>
      </w:r>
      <w:r w:rsidR="00D6244C" w:rsidRPr="0079374E">
        <w:rPr>
          <w:b/>
          <w:bCs/>
        </w:rPr>
        <w:t>[Describe personal equities, such as family ties, work history, tax history, community service, church or community group participation, medical conditions, mental health conditions, family members who are dependent, length of time since conviction, any evidence of relevant rehabilitation].</w:t>
      </w:r>
    </w:p>
    <w:p w14:paraId="7608926B" w14:textId="1F280ED5" w:rsidR="00CC52F3" w:rsidRPr="0079374E" w:rsidRDefault="00D6244C" w:rsidP="00CC52F3">
      <w:pPr>
        <w:autoSpaceDE w:val="0"/>
        <w:autoSpaceDN w:val="0"/>
        <w:adjustRightInd w:val="0"/>
        <w:spacing w:line="480" w:lineRule="auto"/>
        <w:ind w:firstLine="720"/>
      </w:pPr>
      <w:r w:rsidRPr="0079374E">
        <w:t xml:space="preserve">This Board </w:t>
      </w:r>
      <w:r w:rsidR="00694D11">
        <w:t xml:space="preserve">should </w:t>
      </w:r>
      <w:r w:rsidRPr="0079374E">
        <w:t xml:space="preserve">reconsider or reopen Respondent’s case </w:t>
      </w:r>
      <w:proofErr w:type="spellStart"/>
      <w:r w:rsidRPr="0079374E">
        <w:rPr>
          <w:i/>
          <w:iCs/>
        </w:rPr>
        <w:t>sua</w:t>
      </w:r>
      <w:proofErr w:type="spellEnd"/>
      <w:r w:rsidRPr="0079374E">
        <w:rPr>
          <w:i/>
          <w:iCs/>
        </w:rPr>
        <w:t xml:space="preserve"> sponte</w:t>
      </w:r>
      <w:r w:rsidRPr="0079374E">
        <w:t>.</w:t>
      </w:r>
      <w:r w:rsidR="00DC5963" w:rsidRPr="0079374E">
        <w:rPr>
          <w:rStyle w:val="FootnoteReference"/>
        </w:rPr>
        <w:footnoteReference w:id="4"/>
      </w:r>
    </w:p>
    <w:p w14:paraId="509A92CC" w14:textId="01DE294D" w:rsidR="00D6244C" w:rsidRPr="0079374E" w:rsidRDefault="00D6244C" w:rsidP="00700A95">
      <w:pPr>
        <w:pStyle w:val="ListParagraph"/>
        <w:numPr>
          <w:ilvl w:val="0"/>
          <w:numId w:val="10"/>
        </w:numPr>
        <w:autoSpaceDE w:val="0"/>
        <w:autoSpaceDN w:val="0"/>
        <w:adjustRightInd w:val="0"/>
        <w:rPr>
          <w:b/>
          <w:bCs/>
        </w:rPr>
      </w:pPr>
      <w:r w:rsidRPr="0079374E">
        <w:rPr>
          <w:b/>
          <w:bCs/>
        </w:rPr>
        <w:t>[</w:t>
      </w:r>
      <w:r w:rsidR="003442E2" w:rsidRPr="0079374E">
        <w:rPr>
          <w:b/>
          <w:bCs/>
        </w:rPr>
        <w:t>IF RELIEF ELIGIBILITY ISSUE</w:t>
      </w:r>
      <w:r w:rsidR="00F91159" w:rsidRPr="0079374E">
        <w:rPr>
          <w:b/>
          <w:bCs/>
        </w:rPr>
        <w:t>, ADD</w:t>
      </w:r>
      <w:r w:rsidR="003442E2" w:rsidRPr="0079374E">
        <w:rPr>
          <w:b/>
          <w:bCs/>
        </w:rPr>
        <w:t xml:space="preserve">: </w:t>
      </w:r>
      <w:r w:rsidRPr="0079374E">
        <w:rPr>
          <w:b/>
          <w:bCs/>
        </w:rPr>
        <w:t xml:space="preserve">At a Removal Hearing, Respondent Will Prove </w:t>
      </w:r>
      <w:r w:rsidR="00700A95" w:rsidRPr="0079374E">
        <w:rPr>
          <w:b/>
          <w:bCs/>
        </w:rPr>
        <w:t>Relief Should Be Granted]</w:t>
      </w:r>
    </w:p>
    <w:p w14:paraId="0D159520" w14:textId="77777777" w:rsidR="00700A95" w:rsidRPr="0079374E" w:rsidRDefault="00700A95" w:rsidP="00CB2222">
      <w:pPr>
        <w:pStyle w:val="ListParagraph"/>
        <w:autoSpaceDE w:val="0"/>
        <w:autoSpaceDN w:val="0"/>
        <w:adjustRightInd w:val="0"/>
        <w:rPr>
          <w:b/>
          <w:bCs/>
        </w:rPr>
      </w:pPr>
    </w:p>
    <w:p w14:paraId="2367DCCA" w14:textId="2DECBEF6" w:rsidR="00D6244C" w:rsidRPr="0079374E" w:rsidRDefault="00D6244C" w:rsidP="00D6244C">
      <w:pPr>
        <w:autoSpaceDE w:val="0"/>
        <w:autoSpaceDN w:val="0"/>
        <w:adjustRightInd w:val="0"/>
        <w:spacing w:line="480" w:lineRule="auto"/>
        <w:ind w:firstLine="720"/>
      </w:pPr>
      <w:r w:rsidRPr="0079374E">
        <w:t xml:space="preserve">If Respondent’s removal proceedings are reopened and remanded for a relief hearing, at that hearing Respondent will prove that </w:t>
      </w:r>
      <w:r w:rsidRPr="0079374E">
        <w:rPr>
          <w:b/>
          <w:bCs/>
        </w:rPr>
        <w:t>[he/she</w:t>
      </w:r>
      <w:r w:rsidR="00700A95" w:rsidRPr="0079374E">
        <w:rPr>
          <w:b/>
          <w:bCs/>
        </w:rPr>
        <w:t>/they</w:t>
      </w:r>
      <w:r w:rsidRPr="0079374E">
        <w:rPr>
          <w:b/>
          <w:bCs/>
        </w:rPr>
        <w:t xml:space="preserve">] </w:t>
      </w:r>
      <w:r w:rsidRPr="0079374E">
        <w:t>should be granted relief in the exercise of discretion, or if applicable as a matter of law.</w:t>
      </w:r>
    </w:p>
    <w:p w14:paraId="0AB2F9AD" w14:textId="7B913E2E" w:rsidR="00D6244C" w:rsidRPr="0079374E" w:rsidRDefault="00D6244C" w:rsidP="00D6244C">
      <w:pPr>
        <w:autoSpaceDE w:val="0"/>
        <w:autoSpaceDN w:val="0"/>
        <w:adjustRightInd w:val="0"/>
        <w:spacing w:line="480" w:lineRule="auto"/>
        <w:ind w:firstLine="720"/>
      </w:pPr>
      <w:r w:rsidRPr="0079374E">
        <w:rPr>
          <w:b/>
          <w:bCs/>
        </w:rPr>
        <w:t>[Describe contents of relief application and the facts established in the relief application]</w:t>
      </w:r>
      <w:r w:rsidR="003442E2" w:rsidRPr="0079374E">
        <w:rPr>
          <w:b/>
          <w:bCs/>
        </w:rPr>
        <w:t>]</w:t>
      </w:r>
      <w:r w:rsidRPr="0079374E">
        <w:rPr>
          <w:b/>
          <w:bCs/>
        </w:rPr>
        <w:t>.</w:t>
      </w:r>
    </w:p>
    <w:p w14:paraId="7417F251" w14:textId="5F0BDB25" w:rsidR="00CC52F3" w:rsidRPr="0079374E" w:rsidRDefault="00184629" w:rsidP="00AE5C8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u w:val="single"/>
        </w:rPr>
      </w:pPr>
      <w:r w:rsidRPr="0079374E">
        <w:rPr>
          <w:b/>
          <w:u w:val="single"/>
        </w:rPr>
        <w:t>CONCLUSION</w:t>
      </w:r>
    </w:p>
    <w:p w14:paraId="589214C0" w14:textId="37ECB908" w:rsidR="00184629" w:rsidRPr="0079374E" w:rsidRDefault="00CC52F3" w:rsidP="18D9951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u w:val="single"/>
          <w:lang w:eastAsia="ja-JP"/>
        </w:rPr>
      </w:pPr>
      <w:r w:rsidRPr="0079374E">
        <w:tab/>
      </w:r>
      <w:r w:rsidR="00D6244C" w:rsidRPr="0079374E">
        <w:t xml:space="preserve">Under the Second Circuit’s decision in </w:t>
      </w:r>
      <w:r w:rsidR="00D6244C" w:rsidRPr="0079374E">
        <w:rPr>
          <w:i/>
          <w:iCs/>
        </w:rPr>
        <w:t>Minter</w:t>
      </w:r>
      <w:r w:rsidR="00D6244C" w:rsidRPr="0079374E">
        <w:t>, Respondent’s New York</w:t>
      </w:r>
      <w:r w:rsidR="00F91159" w:rsidRPr="0079374E">
        <w:t xml:space="preserve"> </w:t>
      </w:r>
      <w:r w:rsidR="003442E2" w:rsidRPr="0079374E">
        <w:rPr>
          <w:b/>
          <w:bCs/>
        </w:rPr>
        <w:t>[“cocaine” or</w:t>
      </w:r>
      <w:r w:rsidR="00D6244C" w:rsidRPr="0079374E">
        <w:rPr>
          <w:b/>
          <w:bCs/>
        </w:rPr>
        <w:t xml:space="preserve"> “narcotic drug”</w:t>
      </w:r>
      <w:r w:rsidR="003442E2" w:rsidRPr="0079374E">
        <w:rPr>
          <w:b/>
          <w:bCs/>
        </w:rPr>
        <w:t>]</w:t>
      </w:r>
      <w:r w:rsidR="00D6244C" w:rsidRPr="0079374E">
        <w:t xml:space="preserve"> conviction is not for an aggravated felony or offense relating to a controlled substance. Because the Board erroneously treated the prior conviction as an aggravated felony or offense relating to a controlled substance, the Board must </w:t>
      </w:r>
      <w:r w:rsidR="00D6244C" w:rsidRPr="0079374E">
        <w:rPr>
          <w:b/>
          <w:bCs/>
        </w:rPr>
        <w:t>[reconsider and terminate removal proceedings] [and/or] [reopen and remand removal proceedings for purposes of relief]</w:t>
      </w:r>
      <w:r w:rsidR="00D6244C" w:rsidRPr="0079374E">
        <w:t xml:space="preserve">. </w:t>
      </w:r>
    </w:p>
    <w:p w14:paraId="757D3318" w14:textId="1BB30C67" w:rsidR="00184629" w:rsidRPr="0079374E" w:rsidRDefault="00184629" w:rsidP="00184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79374E">
        <w:t xml:space="preserve">Dated: </w:t>
      </w:r>
      <w:r w:rsidRPr="0079374E">
        <w:rPr>
          <w:b/>
        </w:rPr>
        <w:t>____________</w:t>
      </w:r>
      <w:r w:rsidRPr="0079374E">
        <w:tab/>
      </w:r>
      <w:r w:rsidRPr="0079374E">
        <w:tab/>
      </w:r>
      <w:r w:rsidRPr="0079374E">
        <w:tab/>
      </w:r>
      <w:r w:rsidR="00876730" w:rsidRPr="0079374E">
        <w:tab/>
      </w:r>
      <w:r w:rsidR="004057D6" w:rsidRPr="0079374E">
        <w:tab/>
      </w:r>
      <w:r w:rsidR="004057D6" w:rsidRPr="0079374E">
        <w:tab/>
      </w:r>
      <w:r w:rsidRPr="0079374E">
        <w:t>Respectfully submitted,</w:t>
      </w:r>
    </w:p>
    <w:p w14:paraId="5F1E1D86" w14:textId="77777777" w:rsidR="00184629" w:rsidRPr="0079374E"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76AEB51" w14:textId="077ECADD" w:rsidR="00184629" w:rsidRPr="0079374E"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374E">
        <w:tab/>
      </w:r>
      <w:r w:rsidRPr="0079374E">
        <w:tab/>
      </w:r>
      <w:r w:rsidRPr="0079374E">
        <w:tab/>
      </w:r>
      <w:r w:rsidRPr="0079374E">
        <w:tab/>
      </w:r>
      <w:r w:rsidRPr="0079374E">
        <w:tab/>
      </w:r>
      <w:r w:rsidR="00876730" w:rsidRPr="0079374E">
        <w:tab/>
      </w:r>
      <w:r w:rsidR="004057D6" w:rsidRPr="0079374E">
        <w:tab/>
      </w:r>
      <w:r w:rsidR="004057D6" w:rsidRPr="0079374E">
        <w:tab/>
      </w:r>
      <w:r w:rsidRPr="0079374E">
        <w:rPr>
          <w:b/>
        </w:rPr>
        <w:t>____________________</w:t>
      </w:r>
      <w:r w:rsidR="00876730" w:rsidRPr="0079374E">
        <w:rPr>
          <w:b/>
        </w:rPr>
        <w:t>__</w:t>
      </w:r>
    </w:p>
    <w:p w14:paraId="7BD2415D" w14:textId="0A36D51A" w:rsidR="00184629" w:rsidRPr="0079374E" w:rsidRDefault="004057D6"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9374E">
        <w:tab/>
      </w:r>
      <w:r w:rsidR="00311352" w:rsidRPr="0079374E">
        <w:tab/>
      </w:r>
      <w:r w:rsidR="00311352" w:rsidRPr="0079374E">
        <w:tab/>
      </w:r>
      <w:r w:rsidR="00311352" w:rsidRPr="0079374E">
        <w:tab/>
      </w:r>
      <w:r w:rsidR="00311352" w:rsidRPr="0079374E">
        <w:tab/>
      </w:r>
      <w:r w:rsidR="00311352" w:rsidRPr="0079374E">
        <w:tab/>
      </w:r>
      <w:r w:rsidR="00311352" w:rsidRPr="0079374E">
        <w:tab/>
      </w:r>
      <w:r w:rsidR="00311352" w:rsidRPr="0079374E">
        <w:tab/>
      </w:r>
      <w:r w:rsidR="00311352" w:rsidRPr="0079374E">
        <w:rPr>
          <w:b/>
          <w:bCs/>
        </w:rPr>
        <w:t>[NAME]</w:t>
      </w:r>
    </w:p>
    <w:p w14:paraId="021806D0" w14:textId="54931ACD" w:rsidR="00311352" w:rsidRPr="0079374E" w:rsidRDefault="00311352" w:rsidP="00144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sidRPr="0079374E">
        <w:rPr>
          <w:b/>
          <w:bCs/>
        </w:rPr>
        <w:tab/>
      </w:r>
      <w:r w:rsidRPr="0079374E">
        <w:rPr>
          <w:b/>
          <w:bCs/>
        </w:rPr>
        <w:tab/>
      </w:r>
      <w:r w:rsidRPr="0079374E">
        <w:rPr>
          <w:b/>
          <w:bCs/>
        </w:rPr>
        <w:tab/>
      </w:r>
      <w:r w:rsidRPr="0079374E">
        <w:rPr>
          <w:b/>
          <w:bCs/>
        </w:rPr>
        <w:tab/>
      </w:r>
      <w:r w:rsidRPr="0079374E">
        <w:rPr>
          <w:b/>
          <w:bCs/>
        </w:rPr>
        <w:tab/>
      </w:r>
      <w:r w:rsidRPr="0079374E">
        <w:rPr>
          <w:b/>
          <w:bCs/>
        </w:rPr>
        <w:tab/>
      </w:r>
      <w:r w:rsidRPr="0079374E">
        <w:rPr>
          <w:b/>
          <w:bCs/>
        </w:rPr>
        <w:tab/>
        <w:t xml:space="preserve">[ADDRESS OF ATTORNEY, OR </w:t>
      </w:r>
      <w:r w:rsidRPr="0079374E">
        <w:rPr>
          <w:b/>
          <w:bCs/>
        </w:rPr>
        <w:tab/>
      </w:r>
      <w:r w:rsidRPr="0079374E">
        <w:rPr>
          <w:b/>
          <w:bCs/>
        </w:rPr>
        <w:tab/>
      </w:r>
      <w:r w:rsidRPr="0079374E">
        <w:rPr>
          <w:b/>
          <w:bCs/>
        </w:rPr>
        <w:tab/>
      </w:r>
      <w:r w:rsidRPr="0079374E">
        <w:rPr>
          <w:b/>
          <w:bCs/>
        </w:rPr>
        <w:tab/>
      </w:r>
      <w:r w:rsidRPr="0079374E">
        <w:rPr>
          <w:b/>
          <w:bCs/>
        </w:rPr>
        <w:tab/>
      </w:r>
      <w:r w:rsidRPr="0079374E">
        <w:rPr>
          <w:b/>
          <w:bCs/>
        </w:rPr>
        <w:tab/>
      </w:r>
      <w:r w:rsidRPr="0079374E">
        <w:rPr>
          <w:b/>
          <w:bCs/>
        </w:rPr>
        <w:tab/>
      </w:r>
      <w:r w:rsidRPr="0079374E">
        <w:rPr>
          <w:b/>
          <w:bCs/>
        </w:rPr>
        <w:tab/>
        <w:t>SAFE MAILING ADDRESS]</w:t>
      </w:r>
      <w:r w:rsidRPr="0079374E">
        <w:rPr>
          <w:b/>
          <w:bCs/>
        </w:rPr>
        <w:br w:type="page"/>
      </w:r>
    </w:p>
    <w:p w14:paraId="3F078AFC" w14:textId="77777777" w:rsidR="00311352" w:rsidRPr="0079374E" w:rsidRDefault="00311352" w:rsidP="00311352">
      <w:pPr>
        <w:jc w:val="center"/>
        <w:rPr>
          <w:b/>
          <w:u w:val="single"/>
        </w:rPr>
      </w:pPr>
      <w:r w:rsidRPr="0079374E">
        <w:rPr>
          <w:b/>
          <w:u w:val="single"/>
        </w:rPr>
        <w:lastRenderedPageBreak/>
        <w:t>PROOF OF SERVICE</w:t>
      </w:r>
    </w:p>
    <w:p w14:paraId="1F6BCA7A" w14:textId="77777777" w:rsidR="00311352" w:rsidRPr="0079374E" w:rsidRDefault="00311352" w:rsidP="00311352">
      <w:pPr>
        <w:ind w:left="360"/>
      </w:pPr>
    </w:p>
    <w:p w14:paraId="05437780" w14:textId="4103737B" w:rsidR="00311352" w:rsidRPr="0079374E" w:rsidRDefault="00311352" w:rsidP="00311352">
      <w:pPr>
        <w:rPr>
          <w:b/>
        </w:rPr>
      </w:pPr>
      <w:r w:rsidRPr="0079374E">
        <w:t xml:space="preserve">I, </w:t>
      </w:r>
      <w:r w:rsidRPr="0079374E">
        <w:rPr>
          <w:b/>
          <w:bCs/>
        </w:rPr>
        <w:t>[Name]</w:t>
      </w:r>
      <w:r w:rsidRPr="0079374E">
        <w:t xml:space="preserve">, hereby certify that on </w:t>
      </w:r>
      <w:r w:rsidRPr="0079374E">
        <w:rPr>
          <w:b/>
          <w:bCs/>
        </w:rPr>
        <w:t>[date]</w:t>
      </w:r>
      <w:r w:rsidRPr="0079374E">
        <w:t xml:space="preserve">, I mailed a copy of this motion by first class mail to: </w:t>
      </w:r>
    </w:p>
    <w:p w14:paraId="084C206D" w14:textId="77777777" w:rsidR="00311352" w:rsidRPr="0079374E" w:rsidRDefault="00311352" w:rsidP="00311352">
      <w:r w:rsidRPr="0079374E">
        <w:t xml:space="preserve"> </w:t>
      </w:r>
    </w:p>
    <w:p w14:paraId="6B84AE8A" w14:textId="5BAF30F7" w:rsidR="00311352" w:rsidRPr="0079374E" w:rsidRDefault="00311352" w:rsidP="00311352">
      <w:pPr>
        <w:ind w:firstLine="720"/>
      </w:pPr>
      <w:r w:rsidRPr="0079374E">
        <w:t>Office of the Chief Counsel</w:t>
      </w:r>
    </w:p>
    <w:p w14:paraId="5C28E622" w14:textId="681EEAD9" w:rsidR="00311352" w:rsidRPr="0079374E" w:rsidRDefault="00311352" w:rsidP="00311352">
      <w:pPr>
        <w:ind w:firstLine="720"/>
      </w:pPr>
      <w:r w:rsidRPr="0079374E">
        <w:t>Immigration and Customs Enforcement</w:t>
      </w:r>
    </w:p>
    <w:p w14:paraId="0DACD00A" w14:textId="0FBA0626" w:rsidR="00311352" w:rsidRPr="0079374E" w:rsidRDefault="00311352" w:rsidP="00311352">
      <w:pPr>
        <w:ind w:left="720"/>
        <w:rPr>
          <w:b/>
          <w:bCs/>
        </w:rPr>
      </w:pPr>
      <w:r w:rsidRPr="0079374E">
        <w:rPr>
          <w:b/>
          <w:bCs/>
        </w:rPr>
        <w:t>[ADDRESS OF ICE OPLA OFFICE WHERE IMMIGRATION COURT REMOVAL PROCEEDINGS TOOK PLACE]</w:t>
      </w:r>
    </w:p>
    <w:p w14:paraId="39B5D3F8" w14:textId="77777777" w:rsidR="00311352" w:rsidRPr="0079374E" w:rsidRDefault="00311352" w:rsidP="00311352">
      <w:r w:rsidRPr="0079374E">
        <w:tab/>
      </w:r>
    </w:p>
    <w:p w14:paraId="0F919DC0" w14:textId="77777777" w:rsidR="00311352" w:rsidRPr="0079374E" w:rsidRDefault="00311352" w:rsidP="00311352">
      <w:pPr>
        <w:ind w:left="360"/>
      </w:pPr>
    </w:p>
    <w:p w14:paraId="605D7B41" w14:textId="77777777" w:rsidR="00311352" w:rsidRPr="0079374E" w:rsidRDefault="00311352" w:rsidP="00311352">
      <w:r w:rsidRPr="0079374E">
        <w:t>_______________________</w:t>
      </w:r>
    </w:p>
    <w:p w14:paraId="7D4E68C4" w14:textId="1F7D22C8" w:rsidR="00311352" w:rsidRPr="0079374E" w:rsidRDefault="00311352" w:rsidP="00311352">
      <w:pPr>
        <w:rPr>
          <w:b/>
          <w:bCs/>
        </w:rPr>
      </w:pPr>
      <w:r w:rsidRPr="0079374E">
        <w:rPr>
          <w:b/>
          <w:bCs/>
        </w:rPr>
        <w:t>[Name]</w:t>
      </w:r>
    </w:p>
    <w:p w14:paraId="424AC278" w14:textId="77777777" w:rsidR="00311352" w:rsidRPr="0079374E" w:rsidRDefault="00311352" w:rsidP="003113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4C227CCD" w14:textId="77777777" w:rsidR="00184629" w:rsidRPr="0079374E"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21AB397" w14:textId="77777777" w:rsidR="00184629" w:rsidRPr="0079374E"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689002" w14:textId="77777777" w:rsidR="00184629" w:rsidRPr="0079374E"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2F2A3C9" w14:textId="77777777" w:rsidR="00A550D2" w:rsidRPr="0079374E" w:rsidRDefault="00A550D2"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18214F7" w14:textId="77777777" w:rsidR="00A550D2" w:rsidRPr="0079374E" w:rsidRDefault="00A550D2"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6AEB05" w14:textId="77777777" w:rsidR="00A550D2" w:rsidRPr="0079374E" w:rsidRDefault="00A550D2"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C70DDC" w14:textId="77777777" w:rsidR="00A550D2" w:rsidRPr="0079374E" w:rsidRDefault="00A550D2"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6B9DA5" w14:textId="77777777" w:rsidR="00A550D2" w:rsidRPr="0079374E" w:rsidRDefault="00A550D2"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C8B8BFE" w14:textId="77777777" w:rsidR="00A550D2" w:rsidRPr="0079374E" w:rsidRDefault="00A550D2"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086934D" w14:textId="77777777" w:rsidR="00A550D2" w:rsidRPr="0079374E" w:rsidRDefault="00A550D2"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587F8EE" w14:textId="77777777" w:rsidR="0089291B" w:rsidRPr="0079374E" w:rsidRDefault="0089291B" w:rsidP="00CC4713"/>
    <w:sectPr w:rsidR="0089291B" w:rsidRPr="0079374E" w:rsidSect="00311352">
      <w:footerReference w:type="default" r:id="rId20"/>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6A63" w14:textId="77777777" w:rsidR="002E3413" w:rsidRDefault="002E3413" w:rsidP="00CC4713">
      <w:r>
        <w:separator/>
      </w:r>
    </w:p>
  </w:endnote>
  <w:endnote w:type="continuationSeparator" w:id="0">
    <w:p w14:paraId="6C375F8F" w14:textId="77777777" w:rsidR="002E3413" w:rsidRDefault="002E3413" w:rsidP="00CC4713">
      <w:r>
        <w:continuationSeparator/>
      </w:r>
    </w:p>
  </w:endnote>
  <w:endnote w:type="continuationNotice" w:id="1">
    <w:p w14:paraId="49D635C0" w14:textId="77777777" w:rsidR="002E3413" w:rsidRDefault="002E3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ngs">
    <w:altName w:val="MS Mincho"/>
    <w:panose1 w:val="020B06040202020202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wald">
    <w:panose1 w:val="00000500000000000000"/>
    <w:charset w:val="4D"/>
    <w:family w:val="auto"/>
    <w:pitch w:val="variable"/>
    <w:sig w:usb0="2000020F" w:usb1="00000000" w:usb2="00000000" w:usb3="00000000" w:csb0="00000197" w:csb1="00000000"/>
  </w:font>
  <w:font w:name="EB Garamond">
    <w:panose1 w:val="00000500000000000000"/>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3115261"/>
      <w:docPartObj>
        <w:docPartGallery w:val="Page Numbers (Bottom of Page)"/>
        <w:docPartUnique/>
      </w:docPartObj>
    </w:sdtPr>
    <w:sdtContent>
      <w:p w14:paraId="6301FFF8" w14:textId="61F7D598" w:rsidR="00D6244C" w:rsidRDefault="00D6244C" w:rsidP="003113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D12276" w14:textId="77777777" w:rsidR="00D6244C" w:rsidRDefault="00D62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6E0B" w14:textId="58AC2EDD" w:rsidR="00D6244C" w:rsidRDefault="00D6244C" w:rsidP="00311352">
    <w:pPr>
      <w:pStyle w:val="Footer"/>
      <w:framePr w:wrap="none" w:vAnchor="text" w:hAnchor="margin" w:xAlign="center" w:y="1"/>
      <w:rPr>
        <w:rStyle w:val="PageNumber"/>
      </w:rPr>
    </w:pPr>
  </w:p>
  <w:p w14:paraId="14A2EF51" w14:textId="03143B18" w:rsidR="00C36C9F" w:rsidRDefault="00C36C9F" w:rsidP="00311352">
    <w:pPr>
      <w:pStyle w:val="Footer"/>
      <w:jc w:val="center"/>
    </w:pPr>
  </w:p>
  <w:p w14:paraId="49C3B657" w14:textId="77777777" w:rsidR="00C36C9F" w:rsidRDefault="00C36C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0662198"/>
      <w:docPartObj>
        <w:docPartGallery w:val="Page Numbers (Bottom of Page)"/>
        <w:docPartUnique/>
      </w:docPartObj>
    </w:sdtPr>
    <w:sdtContent>
      <w:p w14:paraId="32A98F3C" w14:textId="77777777" w:rsidR="00D6244C" w:rsidRDefault="00D6244C" w:rsidP="003113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2DE8C9D0" w14:textId="77777777" w:rsidR="00D6244C" w:rsidRDefault="00D6244C" w:rsidP="00311352">
    <w:pPr>
      <w:pStyle w:val="Footer"/>
      <w:jc w:val="center"/>
    </w:pPr>
  </w:p>
  <w:p w14:paraId="5693024F" w14:textId="77777777" w:rsidR="00D6244C" w:rsidRDefault="00D62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7B61D" w14:textId="77777777" w:rsidR="002E3413" w:rsidRDefault="002E3413" w:rsidP="00CC4713">
      <w:r>
        <w:separator/>
      </w:r>
    </w:p>
  </w:footnote>
  <w:footnote w:type="continuationSeparator" w:id="0">
    <w:p w14:paraId="1F8F606E" w14:textId="77777777" w:rsidR="002E3413" w:rsidRDefault="002E3413" w:rsidP="00CC4713">
      <w:r>
        <w:continuationSeparator/>
      </w:r>
    </w:p>
  </w:footnote>
  <w:footnote w:type="continuationNotice" w:id="1">
    <w:p w14:paraId="0B47CDBE" w14:textId="77777777" w:rsidR="002E3413" w:rsidRDefault="002E3413"/>
  </w:footnote>
  <w:footnote w:id="2">
    <w:p w14:paraId="4BEF8B76" w14:textId="691B4F3C" w:rsidR="008C4368" w:rsidRPr="006B69B3" w:rsidRDefault="008C4368" w:rsidP="008C4368">
      <w:pPr>
        <w:pStyle w:val="FootnoteText"/>
        <w:rPr>
          <w:sz w:val="24"/>
          <w:szCs w:val="24"/>
        </w:rPr>
      </w:pPr>
      <w:r w:rsidRPr="006B69B3">
        <w:rPr>
          <w:rStyle w:val="FootnoteReference"/>
          <w:sz w:val="24"/>
          <w:szCs w:val="24"/>
        </w:rPr>
        <w:footnoteRef/>
      </w:r>
      <w:r w:rsidRPr="006B69B3">
        <w:rPr>
          <w:sz w:val="24"/>
          <w:szCs w:val="24"/>
        </w:rPr>
        <w:t xml:space="preserve"> </w:t>
      </w:r>
      <w:r w:rsidRPr="006B69B3">
        <w:rPr>
          <w:i/>
          <w:sz w:val="24"/>
          <w:szCs w:val="24"/>
        </w:rPr>
        <w:t>See also</w:t>
      </w:r>
      <w:r w:rsidRPr="006B69B3">
        <w:rPr>
          <w:sz w:val="24"/>
          <w:szCs w:val="24"/>
        </w:rPr>
        <w:t xml:space="preserve"> </w:t>
      </w:r>
      <w:r w:rsidRPr="006B69B3">
        <w:rPr>
          <w:i/>
          <w:iCs/>
          <w:sz w:val="24"/>
          <w:szCs w:val="24"/>
        </w:rPr>
        <w:t>Borges v. Gonzales</w:t>
      </w:r>
      <w:r w:rsidRPr="006B69B3">
        <w:rPr>
          <w:sz w:val="24"/>
          <w:szCs w:val="24"/>
        </w:rPr>
        <w:t xml:space="preserve">, 402 F.3d 398, 407 (3d Cir. 2005); </w:t>
      </w:r>
      <w:r w:rsidRPr="006B69B3">
        <w:rPr>
          <w:i/>
          <w:sz w:val="24"/>
          <w:szCs w:val="24"/>
        </w:rPr>
        <w:t>Kuusk v. Holder</w:t>
      </w:r>
      <w:r w:rsidRPr="006B69B3">
        <w:rPr>
          <w:sz w:val="24"/>
          <w:szCs w:val="24"/>
        </w:rPr>
        <w:t xml:space="preserve">, 732 F.3d 302, 305 (4th Cir. 2013); </w:t>
      </w:r>
      <w:r w:rsidRPr="006B69B3">
        <w:rPr>
          <w:i/>
          <w:sz w:val="24"/>
          <w:szCs w:val="24"/>
        </w:rPr>
        <w:t>Lugo-Resendez v. Lynch</w:t>
      </w:r>
      <w:r w:rsidRPr="006B69B3">
        <w:rPr>
          <w:sz w:val="24"/>
          <w:szCs w:val="24"/>
        </w:rPr>
        <w:t xml:space="preserve">, 831 F.3d 337, 344 (5th Cir. 2016); </w:t>
      </w:r>
      <w:r w:rsidRPr="006B69B3">
        <w:rPr>
          <w:i/>
          <w:iCs/>
          <w:sz w:val="24"/>
          <w:szCs w:val="24"/>
        </w:rPr>
        <w:t>Mezo v. Holder</w:t>
      </w:r>
      <w:r w:rsidRPr="006B69B3">
        <w:rPr>
          <w:sz w:val="24"/>
          <w:szCs w:val="24"/>
        </w:rPr>
        <w:t xml:space="preserve">, 615 F.3d 616, 620 (6th Cir. 2010); </w:t>
      </w:r>
      <w:r w:rsidRPr="006B69B3">
        <w:rPr>
          <w:bCs/>
          <w:i/>
          <w:sz w:val="24"/>
          <w:szCs w:val="24"/>
        </w:rPr>
        <w:t>Pervaiz v. Gonzales</w:t>
      </w:r>
      <w:r w:rsidRPr="006B69B3">
        <w:rPr>
          <w:bCs/>
          <w:sz w:val="24"/>
          <w:szCs w:val="24"/>
        </w:rPr>
        <w:t xml:space="preserve">, 405 F.3d 488, 489 (7th Cir. 2005); </w:t>
      </w:r>
      <w:r w:rsidRPr="006B69B3">
        <w:rPr>
          <w:i/>
          <w:iCs/>
          <w:sz w:val="24"/>
          <w:szCs w:val="24"/>
        </w:rPr>
        <w:t>Ortega-Marroquin v. Holder</w:t>
      </w:r>
      <w:r w:rsidRPr="006B69B3">
        <w:rPr>
          <w:iCs/>
          <w:sz w:val="24"/>
          <w:szCs w:val="24"/>
        </w:rPr>
        <w:t>, 640 F.3d 814,</w:t>
      </w:r>
      <w:r w:rsidRPr="006B69B3">
        <w:rPr>
          <w:i/>
          <w:iCs/>
          <w:sz w:val="24"/>
          <w:szCs w:val="24"/>
        </w:rPr>
        <w:t xml:space="preserve"> </w:t>
      </w:r>
      <w:r w:rsidRPr="006B69B3">
        <w:rPr>
          <w:sz w:val="24"/>
          <w:szCs w:val="24"/>
        </w:rPr>
        <w:t xml:space="preserve">819-20 (8th Cir. 2011); </w:t>
      </w:r>
      <w:r w:rsidRPr="006B69B3">
        <w:rPr>
          <w:i/>
          <w:iCs/>
          <w:sz w:val="24"/>
          <w:szCs w:val="24"/>
        </w:rPr>
        <w:t>Socop-Gonzalez v. INS</w:t>
      </w:r>
      <w:r w:rsidRPr="006B69B3">
        <w:rPr>
          <w:sz w:val="24"/>
          <w:szCs w:val="24"/>
        </w:rPr>
        <w:t>, 272 F.3d 1176, 1184-85 (9th Cir. 2001)</w:t>
      </w:r>
      <w:r w:rsidR="00AA5C88" w:rsidRPr="006B69B3">
        <w:rPr>
          <w:sz w:val="24"/>
          <w:szCs w:val="24"/>
        </w:rPr>
        <w:t xml:space="preserve"> </w:t>
      </w:r>
      <w:r w:rsidR="00AA5C88" w:rsidRPr="006B69B3">
        <w:rPr>
          <w:i/>
          <w:iCs/>
          <w:sz w:val="24"/>
          <w:szCs w:val="24"/>
        </w:rPr>
        <w:t>overruled in part on other grounds</w:t>
      </w:r>
      <w:r w:rsidR="00AA5C88" w:rsidRPr="00CB2222">
        <w:rPr>
          <w:sz w:val="24"/>
          <w:szCs w:val="24"/>
        </w:rPr>
        <w:t xml:space="preserve"> by </w:t>
      </w:r>
      <w:r w:rsidR="00AA5C88" w:rsidRPr="006B69B3">
        <w:rPr>
          <w:i/>
          <w:iCs/>
          <w:sz w:val="24"/>
          <w:szCs w:val="24"/>
        </w:rPr>
        <w:t>Smith v. Davis</w:t>
      </w:r>
      <w:r w:rsidR="00AA5C88" w:rsidRPr="006B69B3">
        <w:rPr>
          <w:sz w:val="24"/>
          <w:szCs w:val="24"/>
        </w:rPr>
        <w:t>, 953 F.3d 582 (9th Cir. 2020)</w:t>
      </w:r>
      <w:r w:rsidRPr="006B69B3">
        <w:rPr>
          <w:bCs/>
          <w:sz w:val="24"/>
          <w:szCs w:val="24"/>
        </w:rPr>
        <w:t xml:space="preserve">; </w:t>
      </w:r>
      <w:r w:rsidRPr="006B69B3">
        <w:rPr>
          <w:i/>
          <w:sz w:val="24"/>
          <w:szCs w:val="24"/>
        </w:rPr>
        <w:t>Riley v. INS</w:t>
      </w:r>
      <w:r w:rsidRPr="006B69B3">
        <w:rPr>
          <w:sz w:val="24"/>
          <w:szCs w:val="24"/>
        </w:rPr>
        <w:t>, 310 F.3d 1253, 1258 (10th Cir. 2002)</w:t>
      </w:r>
      <w:r w:rsidRPr="006B69B3">
        <w:rPr>
          <w:bCs/>
          <w:sz w:val="24"/>
          <w:szCs w:val="24"/>
        </w:rPr>
        <w:t>;</w:t>
      </w:r>
      <w:r w:rsidRPr="006B69B3">
        <w:rPr>
          <w:sz w:val="24"/>
          <w:szCs w:val="24"/>
        </w:rPr>
        <w:t xml:space="preserve"> </w:t>
      </w:r>
      <w:r w:rsidRPr="006B69B3">
        <w:rPr>
          <w:i/>
          <w:sz w:val="24"/>
          <w:szCs w:val="24"/>
        </w:rPr>
        <w:t>Avila-Santoyo v. AG</w:t>
      </w:r>
      <w:r w:rsidRPr="006B69B3">
        <w:rPr>
          <w:sz w:val="24"/>
          <w:szCs w:val="24"/>
        </w:rPr>
        <w:t>, 713 F.3d 1357, 1363 n.5 (11th Cir. 2013) (en banc).</w:t>
      </w:r>
    </w:p>
  </w:footnote>
  <w:footnote w:id="3">
    <w:p w14:paraId="277C8B76" w14:textId="3C4F5043" w:rsidR="006B69B3" w:rsidRPr="00CB2222" w:rsidRDefault="006B69B3">
      <w:pPr>
        <w:pStyle w:val="FootnoteText"/>
        <w:rPr>
          <w:sz w:val="24"/>
          <w:szCs w:val="24"/>
        </w:rPr>
      </w:pPr>
      <w:r w:rsidRPr="00CB2222">
        <w:rPr>
          <w:rStyle w:val="FootnoteReference"/>
          <w:sz w:val="24"/>
          <w:szCs w:val="24"/>
        </w:rPr>
        <w:footnoteRef/>
      </w:r>
      <w:r w:rsidRPr="00CB2222">
        <w:rPr>
          <w:sz w:val="24"/>
          <w:szCs w:val="24"/>
        </w:rPr>
        <w:t xml:space="preserve"> </w:t>
      </w:r>
      <w:r>
        <w:rPr>
          <w:sz w:val="24"/>
          <w:szCs w:val="24"/>
        </w:rPr>
        <w:t>In December 2020, the Department of Justice proposed regulatory changes to eliminate the Board’s authority to recon</w:t>
      </w:r>
      <w:r w:rsidRPr="006B69B3">
        <w:rPr>
          <w:sz w:val="24"/>
          <w:szCs w:val="24"/>
        </w:rPr>
        <w:t xml:space="preserve">sider or reopen removal proceedings </w:t>
      </w:r>
      <w:r w:rsidRPr="006B69B3">
        <w:rPr>
          <w:i/>
          <w:iCs/>
          <w:sz w:val="24"/>
          <w:szCs w:val="24"/>
        </w:rPr>
        <w:t>sua sponte</w:t>
      </w:r>
      <w:r w:rsidRPr="006B69B3">
        <w:rPr>
          <w:sz w:val="24"/>
          <w:szCs w:val="24"/>
        </w:rPr>
        <w:t xml:space="preserve">, but those proposed regulations </w:t>
      </w:r>
      <w:r>
        <w:rPr>
          <w:sz w:val="24"/>
          <w:szCs w:val="24"/>
        </w:rPr>
        <w:t xml:space="preserve">have been enjoined since 2021 and the longstanding </w:t>
      </w:r>
      <w:r>
        <w:rPr>
          <w:i/>
          <w:iCs/>
          <w:sz w:val="24"/>
          <w:szCs w:val="24"/>
        </w:rPr>
        <w:t xml:space="preserve">sua </w:t>
      </w:r>
      <w:r w:rsidRPr="00CB2222">
        <w:rPr>
          <w:i/>
          <w:iCs/>
          <w:sz w:val="24"/>
          <w:szCs w:val="24"/>
          <w:u w:val="single"/>
        </w:rPr>
        <w:t>sponte</w:t>
      </w:r>
      <w:r>
        <w:rPr>
          <w:i/>
          <w:iCs/>
          <w:sz w:val="24"/>
          <w:szCs w:val="24"/>
          <w:u w:val="single"/>
        </w:rPr>
        <w:t xml:space="preserve"> </w:t>
      </w:r>
      <w:r>
        <w:rPr>
          <w:sz w:val="24"/>
          <w:szCs w:val="24"/>
          <w:u w:val="single"/>
        </w:rPr>
        <w:t xml:space="preserve">regulation at 8 C.F.R. § 1003.2(a) remains in effect. </w:t>
      </w:r>
      <w:r>
        <w:rPr>
          <w:i/>
          <w:iCs/>
          <w:sz w:val="24"/>
          <w:szCs w:val="24"/>
        </w:rPr>
        <w:t xml:space="preserve">See </w:t>
      </w:r>
      <w:r w:rsidRPr="00CB2222">
        <w:rPr>
          <w:i/>
          <w:iCs/>
          <w:sz w:val="24"/>
          <w:szCs w:val="24"/>
        </w:rPr>
        <w:t>Centro Legal de la Raza v. Exec. Off. for Immigr. Rev.</w:t>
      </w:r>
      <w:r w:rsidRPr="00CB2222">
        <w:rPr>
          <w:sz w:val="24"/>
          <w:szCs w:val="24"/>
        </w:rPr>
        <w:t>, 524 F. Supp. 3d 919 (N.D. Cal. 2021).</w:t>
      </w:r>
      <w:r>
        <w:rPr>
          <w:sz w:val="24"/>
          <w:szCs w:val="24"/>
        </w:rPr>
        <w:t xml:space="preserve"> On September 8, 2023, the Department of Justice iss</w:t>
      </w:r>
      <w:r w:rsidRPr="006B69B3">
        <w:rPr>
          <w:sz w:val="24"/>
          <w:szCs w:val="24"/>
        </w:rPr>
        <w:t xml:space="preserve">ued a “Notice of proposed rulemaking” that would largely rescind the regulations proposed in 2020 and restore the longstanding regulation at 8 C.F.R. § 1003.2(a). </w:t>
      </w:r>
      <w:r w:rsidRPr="006B69B3">
        <w:rPr>
          <w:i/>
          <w:iCs/>
          <w:sz w:val="24"/>
          <w:szCs w:val="24"/>
        </w:rPr>
        <w:t xml:space="preserve">See </w:t>
      </w:r>
      <w:r w:rsidRPr="00CB2222">
        <w:rPr>
          <w:sz w:val="24"/>
          <w:szCs w:val="24"/>
        </w:rPr>
        <w:t xml:space="preserve">Department of Justice, </w:t>
      </w:r>
      <w:r>
        <w:rPr>
          <w:sz w:val="24"/>
          <w:szCs w:val="24"/>
        </w:rPr>
        <w:t xml:space="preserve">Executive Office for Immigration Review, DE: 4410-30, Notice of Proposed Rulemaking, </w:t>
      </w:r>
      <w:r w:rsidRPr="00CB2222">
        <w:rPr>
          <w:i/>
          <w:iCs/>
          <w:sz w:val="24"/>
          <w:szCs w:val="24"/>
        </w:rPr>
        <w:t>Appellate Procedures and Decisional Finality in Immigration Proceedings; Administrative Closure</w:t>
      </w:r>
      <w:r w:rsidRPr="00CB2222">
        <w:rPr>
          <w:sz w:val="24"/>
          <w:szCs w:val="24"/>
        </w:rPr>
        <w:t xml:space="preserve"> (Sept. 8, 2023), </w:t>
      </w:r>
      <w:r w:rsidRPr="00CB2222">
        <w:rPr>
          <w:i/>
          <w:iCs/>
          <w:sz w:val="24"/>
          <w:szCs w:val="24"/>
        </w:rPr>
        <w:t>available at</w:t>
      </w:r>
      <w:r w:rsidRPr="00CB2222">
        <w:rPr>
          <w:sz w:val="24"/>
          <w:szCs w:val="24"/>
        </w:rPr>
        <w:t xml:space="preserve"> https://public-inspection.federalregister.gov/2023-18199.pdf. </w:t>
      </w:r>
    </w:p>
  </w:footnote>
  <w:footnote w:id="4">
    <w:p w14:paraId="7554EC61" w14:textId="7CF12C8F" w:rsidR="00DC5963" w:rsidRPr="00CB2222" w:rsidRDefault="00DC5963">
      <w:pPr>
        <w:pStyle w:val="FootnoteText"/>
        <w:rPr>
          <w:sz w:val="24"/>
          <w:szCs w:val="24"/>
        </w:rPr>
      </w:pPr>
      <w:r w:rsidRPr="00CB2222">
        <w:rPr>
          <w:rStyle w:val="FootnoteReference"/>
          <w:sz w:val="24"/>
          <w:szCs w:val="24"/>
        </w:rPr>
        <w:footnoteRef/>
      </w:r>
      <w:r w:rsidRPr="00CB2222">
        <w:rPr>
          <w:sz w:val="24"/>
          <w:szCs w:val="24"/>
        </w:rPr>
        <w:t xml:space="preserve"> The departure bar regulation at 8 C.F.R. § 1003.2(d) does not bar </w:t>
      </w:r>
      <w:r w:rsidRPr="00CB2222">
        <w:rPr>
          <w:i/>
          <w:iCs/>
          <w:sz w:val="24"/>
          <w:szCs w:val="24"/>
        </w:rPr>
        <w:t>sua sponte</w:t>
      </w:r>
      <w:r w:rsidRPr="00CB2222">
        <w:rPr>
          <w:sz w:val="24"/>
          <w:szCs w:val="24"/>
        </w:rPr>
        <w:t xml:space="preserve"> reconsideration and/or reopening in this case. </w:t>
      </w:r>
      <w:r w:rsidRPr="00CB2222">
        <w:rPr>
          <w:i/>
          <w:iCs/>
          <w:sz w:val="24"/>
          <w:szCs w:val="24"/>
        </w:rPr>
        <w:t xml:space="preserve">See </w:t>
      </w:r>
      <w:r w:rsidRPr="00CB2222">
        <w:rPr>
          <w:i/>
          <w:iCs/>
          <w:sz w:val="24"/>
          <w:szCs w:val="24"/>
        </w:rPr>
        <w:t>supra</w:t>
      </w:r>
      <w:r w:rsidRPr="00CB2222">
        <w:rPr>
          <w:sz w:val="24"/>
          <w:szCs w:val="24"/>
        </w:rPr>
        <w:t xml:space="preserve"> Section III.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4B9C"/>
    <w:multiLevelType w:val="multilevel"/>
    <w:tmpl w:val="50646948"/>
    <w:styleLink w:val="CurrentList1"/>
    <w:lvl w:ilvl="0">
      <w:start w:val="3"/>
      <w:numFmt w:val="upperRoman"/>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7915619"/>
    <w:multiLevelType w:val="hybridMultilevel"/>
    <w:tmpl w:val="50646948"/>
    <w:lvl w:ilvl="0" w:tplc="844487E6">
      <w:start w:val="3"/>
      <w:numFmt w:val="upperRoman"/>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D75CBF"/>
    <w:multiLevelType w:val="hybridMultilevel"/>
    <w:tmpl w:val="980EE134"/>
    <w:lvl w:ilvl="0" w:tplc="A2668A9A">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C54C80"/>
    <w:multiLevelType w:val="hybridMultilevel"/>
    <w:tmpl w:val="1368D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411B9F"/>
    <w:multiLevelType w:val="hybridMultilevel"/>
    <w:tmpl w:val="9DB01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55BF6"/>
    <w:multiLevelType w:val="hybridMultilevel"/>
    <w:tmpl w:val="56EE74AE"/>
    <w:lvl w:ilvl="0" w:tplc="E002645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C2B9C"/>
    <w:multiLevelType w:val="hybridMultilevel"/>
    <w:tmpl w:val="A978E398"/>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D112D1"/>
    <w:multiLevelType w:val="hybridMultilevel"/>
    <w:tmpl w:val="1FAEB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221416"/>
    <w:multiLevelType w:val="hybridMultilevel"/>
    <w:tmpl w:val="70EEE20C"/>
    <w:lvl w:ilvl="0" w:tplc="19D0AA6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2D4AFE"/>
    <w:multiLevelType w:val="hybridMultilevel"/>
    <w:tmpl w:val="D514F3E0"/>
    <w:lvl w:ilvl="0" w:tplc="58702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CF23E5"/>
    <w:multiLevelType w:val="hybridMultilevel"/>
    <w:tmpl w:val="442CE090"/>
    <w:lvl w:ilvl="0" w:tplc="7C182DA6">
      <w:start w:val="1"/>
      <w:numFmt w:val="upperRoman"/>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374704A"/>
    <w:multiLevelType w:val="hybridMultilevel"/>
    <w:tmpl w:val="4EF479D6"/>
    <w:lvl w:ilvl="0" w:tplc="E00264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7606F2"/>
    <w:multiLevelType w:val="hybridMultilevel"/>
    <w:tmpl w:val="7A78D8A2"/>
    <w:lvl w:ilvl="0" w:tplc="453A17B2">
      <w:start w:val="3"/>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3364583">
    <w:abstractNumId w:val="8"/>
  </w:num>
  <w:num w:numId="2" w16cid:durableId="1956865297">
    <w:abstractNumId w:val="1"/>
  </w:num>
  <w:num w:numId="3" w16cid:durableId="728578947">
    <w:abstractNumId w:val="4"/>
  </w:num>
  <w:num w:numId="4" w16cid:durableId="1038970308">
    <w:abstractNumId w:val="7"/>
  </w:num>
  <w:num w:numId="5" w16cid:durableId="1649676038">
    <w:abstractNumId w:val="3"/>
  </w:num>
  <w:num w:numId="6" w16cid:durableId="956376624">
    <w:abstractNumId w:val="2"/>
  </w:num>
  <w:num w:numId="7" w16cid:durableId="1722172095">
    <w:abstractNumId w:val="9"/>
  </w:num>
  <w:num w:numId="8" w16cid:durableId="1686786362">
    <w:abstractNumId w:val="6"/>
  </w:num>
  <w:num w:numId="9" w16cid:durableId="1429230153">
    <w:abstractNumId w:val="12"/>
  </w:num>
  <w:num w:numId="10" w16cid:durableId="810295339">
    <w:abstractNumId w:val="10"/>
  </w:num>
  <w:num w:numId="11" w16cid:durableId="1499030801">
    <w:abstractNumId w:val="0"/>
  </w:num>
  <w:num w:numId="12" w16cid:durableId="475072117">
    <w:abstractNumId w:val="11"/>
  </w:num>
  <w:num w:numId="13" w16cid:durableId="724644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13"/>
    <w:rsid w:val="000022E6"/>
    <w:rsid w:val="00017B8C"/>
    <w:rsid w:val="000219B6"/>
    <w:rsid w:val="000243CF"/>
    <w:rsid w:val="000274C5"/>
    <w:rsid w:val="0003049C"/>
    <w:rsid w:val="00035625"/>
    <w:rsid w:val="00046B67"/>
    <w:rsid w:val="000474EF"/>
    <w:rsid w:val="00050535"/>
    <w:rsid w:val="000528F6"/>
    <w:rsid w:val="00055A62"/>
    <w:rsid w:val="000568E0"/>
    <w:rsid w:val="000570F9"/>
    <w:rsid w:val="00060D80"/>
    <w:rsid w:val="000610C5"/>
    <w:rsid w:val="000613A8"/>
    <w:rsid w:val="0006157E"/>
    <w:rsid w:val="00061E2D"/>
    <w:rsid w:val="000744DE"/>
    <w:rsid w:val="0007462E"/>
    <w:rsid w:val="000746D0"/>
    <w:rsid w:val="00075DFC"/>
    <w:rsid w:val="000770E6"/>
    <w:rsid w:val="000937C3"/>
    <w:rsid w:val="00093848"/>
    <w:rsid w:val="000964C5"/>
    <w:rsid w:val="000A05CE"/>
    <w:rsid w:val="000B237E"/>
    <w:rsid w:val="000B4131"/>
    <w:rsid w:val="000B428E"/>
    <w:rsid w:val="000B6088"/>
    <w:rsid w:val="000C3A11"/>
    <w:rsid w:val="000C77FB"/>
    <w:rsid w:val="000D11E6"/>
    <w:rsid w:val="000D13A0"/>
    <w:rsid w:val="000D3F15"/>
    <w:rsid w:val="000D44CB"/>
    <w:rsid w:val="000D7F80"/>
    <w:rsid w:val="000E0079"/>
    <w:rsid w:val="000E26BA"/>
    <w:rsid w:val="000E3FA6"/>
    <w:rsid w:val="000E73AE"/>
    <w:rsid w:val="000F0BA5"/>
    <w:rsid w:val="000F7643"/>
    <w:rsid w:val="000F787D"/>
    <w:rsid w:val="00101CB2"/>
    <w:rsid w:val="00106BC1"/>
    <w:rsid w:val="00107C57"/>
    <w:rsid w:val="00112E89"/>
    <w:rsid w:val="001159AF"/>
    <w:rsid w:val="00121A01"/>
    <w:rsid w:val="001344B8"/>
    <w:rsid w:val="00135E80"/>
    <w:rsid w:val="001371DC"/>
    <w:rsid w:val="00143FB0"/>
    <w:rsid w:val="00144911"/>
    <w:rsid w:val="00145637"/>
    <w:rsid w:val="00150112"/>
    <w:rsid w:val="00150C73"/>
    <w:rsid w:val="0015147F"/>
    <w:rsid w:val="001521DB"/>
    <w:rsid w:val="001530A3"/>
    <w:rsid w:val="00154E29"/>
    <w:rsid w:val="00156848"/>
    <w:rsid w:val="0015725F"/>
    <w:rsid w:val="00157A9F"/>
    <w:rsid w:val="00157E03"/>
    <w:rsid w:val="00163FBC"/>
    <w:rsid w:val="001643A8"/>
    <w:rsid w:val="001660C8"/>
    <w:rsid w:val="001737F0"/>
    <w:rsid w:val="001774FF"/>
    <w:rsid w:val="00180F12"/>
    <w:rsid w:val="00184629"/>
    <w:rsid w:val="0019051B"/>
    <w:rsid w:val="001A3C81"/>
    <w:rsid w:val="001A6055"/>
    <w:rsid w:val="001A7885"/>
    <w:rsid w:val="001B193A"/>
    <w:rsid w:val="001B1ADB"/>
    <w:rsid w:val="001B4DCF"/>
    <w:rsid w:val="001B5634"/>
    <w:rsid w:val="001C10D2"/>
    <w:rsid w:val="001C62FE"/>
    <w:rsid w:val="001C6B7B"/>
    <w:rsid w:val="001D0EE5"/>
    <w:rsid w:val="001D3C29"/>
    <w:rsid w:val="001E0CCB"/>
    <w:rsid w:val="001E7087"/>
    <w:rsid w:val="001F06DD"/>
    <w:rsid w:val="001F3D6C"/>
    <w:rsid w:val="001F56DE"/>
    <w:rsid w:val="0020155E"/>
    <w:rsid w:val="0020393D"/>
    <w:rsid w:val="00206AF4"/>
    <w:rsid w:val="0021158E"/>
    <w:rsid w:val="00211ADF"/>
    <w:rsid w:val="0022150F"/>
    <w:rsid w:val="002278ED"/>
    <w:rsid w:val="00234C13"/>
    <w:rsid w:val="0023529B"/>
    <w:rsid w:val="002376D7"/>
    <w:rsid w:val="002411B0"/>
    <w:rsid w:val="00250842"/>
    <w:rsid w:val="00250A32"/>
    <w:rsid w:val="002519D0"/>
    <w:rsid w:val="00252CBD"/>
    <w:rsid w:val="00257267"/>
    <w:rsid w:val="00261062"/>
    <w:rsid w:val="00261B8C"/>
    <w:rsid w:val="00264B7B"/>
    <w:rsid w:val="00266BD2"/>
    <w:rsid w:val="00266F8E"/>
    <w:rsid w:val="00267470"/>
    <w:rsid w:val="00275B7F"/>
    <w:rsid w:val="00285656"/>
    <w:rsid w:val="002A1A8F"/>
    <w:rsid w:val="002A37BB"/>
    <w:rsid w:val="002A7DD3"/>
    <w:rsid w:val="002B1FAB"/>
    <w:rsid w:val="002B4AF5"/>
    <w:rsid w:val="002B7C54"/>
    <w:rsid w:val="002C0DA4"/>
    <w:rsid w:val="002C34DF"/>
    <w:rsid w:val="002D7420"/>
    <w:rsid w:val="002E1B81"/>
    <w:rsid w:val="002E3413"/>
    <w:rsid w:val="002E4AE8"/>
    <w:rsid w:val="002F0BEA"/>
    <w:rsid w:val="002F1E20"/>
    <w:rsid w:val="002F371C"/>
    <w:rsid w:val="002F48F3"/>
    <w:rsid w:val="002F53CA"/>
    <w:rsid w:val="002F617D"/>
    <w:rsid w:val="003003CA"/>
    <w:rsid w:val="00311352"/>
    <w:rsid w:val="003125C0"/>
    <w:rsid w:val="00314FC3"/>
    <w:rsid w:val="0031694F"/>
    <w:rsid w:val="0031722E"/>
    <w:rsid w:val="0032106D"/>
    <w:rsid w:val="00321C9D"/>
    <w:rsid w:val="00327C45"/>
    <w:rsid w:val="0033237A"/>
    <w:rsid w:val="00332BD9"/>
    <w:rsid w:val="003411FE"/>
    <w:rsid w:val="0034192D"/>
    <w:rsid w:val="00343785"/>
    <w:rsid w:val="003442E2"/>
    <w:rsid w:val="003466E7"/>
    <w:rsid w:val="003505D6"/>
    <w:rsid w:val="00350CC6"/>
    <w:rsid w:val="003511BD"/>
    <w:rsid w:val="003528EF"/>
    <w:rsid w:val="00352AF8"/>
    <w:rsid w:val="00354008"/>
    <w:rsid w:val="00357D9E"/>
    <w:rsid w:val="00363930"/>
    <w:rsid w:val="00374B45"/>
    <w:rsid w:val="00376417"/>
    <w:rsid w:val="003768FC"/>
    <w:rsid w:val="00377421"/>
    <w:rsid w:val="00381E26"/>
    <w:rsid w:val="00383215"/>
    <w:rsid w:val="003848A5"/>
    <w:rsid w:val="00387355"/>
    <w:rsid w:val="00390B35"/>
    <w:rsid w:val="00390C7B"/>
    <w:rsid w:val="00391FFC"/>
    <w:rsid w:val="00392C50"/>
    <w:rsid w:val="003940AD"/>
    <w:rsid w:val="00395260"/>
    <w:rsid w:val="003959D0"/>
    <w:rsid w:val="003978A9"/>
    <w:rsid w:val="003A1656"/>
    <w:rsid w:val="003A2311"/>
    <w:rsid w:val="003A4B3B"/>
    <w:rsid w:val="003B1E2D"/>
    <w:rsid w:val="003B6005"/>
    <w:rsid w:val="003B6848"/>
    <w:rsid w:val="003C3138"/>
    <w:rsid w:val="003C6985"/>
    <w:rsid w:val="003C75E2"/>
    <w:rsid w:val="003C7D99"/>
    <w:rsid w:val="003D0DAC"/>
    <w:rsid w:val="003D1786"/>
    <w:rsid w:val="003D3115"/>
    <w:rsid w:val="003E682D"/>
    <w:rsid w:val="003E7C48"/>
    <w:rsid w:val="003F22AB"/>
    <w:rsid w:val="003F22E0"/>
    <w:rsid w:val="003F647B"/>
    <w:rsid w:val="0040057D"/>
    <w:rsid w:val="00401E49"/>
    <w:rsid w:val="004025DE"/>
    <w:rsid w:val="00404C33"/>
    <w:rsid w:val="004057D6"/>
    <w:rsid w:val="004118F7"/>
    <w:rsid w:val="00411C17"/>
    <w:rsid w:val="00411CDA"/>
    <w:rsid w:val="004126F9"/>
    <w:rsid w:val="00420E8D"/>
    <w:rsid w:val="00421338"/>
    <w:rsid w:val="00422ECE"/>
    <w:rsid w:val="004257F8"/>
    <w:rsid w:val="00426823"/>
    <w:rsid w:val="00427F85"/>
    <w:rsid w:val="0044446E"/>
    <w:rsid w:val="0044449A"/>
    <w:rsid w:val="00454FC1"/>
    <w:rsid w:val="00461650"/>
    <w:rsid w:val="004717A9"/>
    <w:rsid w:val="00471DDD"/>
    <w:rsid w:val="00473B0D"/>
    <w:rsid w:val="00486146"/>
    <w:rsid w:val="004A6B04"/>
    <w:rsid w:val="004B4232"/>
    <w:rsid w:val="004B54A6"/>
    <w:rsid w:val="004C4DF2"/>
    <w:rsid w:val="004C6ADA"/>
    <w:rsid w:val="004D1F55"/>
    <w:rsid w:val="004D2E17"/>
    <w:rsid w:val="004D3130"/>
    <w:rsid w:val="004E1BE1"/>
    <w:rsid w:val="004F0B5A"/>
    <w:rsid w:val="004F53CF"/>
    <w:rsid w:val="004F5465"/>
    <w:rsid w:val="004F5EDB"/>
    <w:rsid w:val="00500A21"/>
    <w:rsid w:val="00504234"/>
    <w:rsid w:val="0050648B"/>
    <w:rsid w:val="00506801"/>
    <w:rsid w:val="00510F56"/>
    <w:rsid w:val="00512267"/>
    <w:rsid w:val="00514223"/>
    <w:rsid w:val="00520167"/>
    <w:rsid w:val="005226C4"/>
    <w:rsid w:val="00532C4F"/>
    <w:rsid w:val="00536029"/>
    <w:rsid w:val="005456FC"/>
    <w:rsid w:val="0054770C"/>
    <w:rsid w:val="005520F1"/>
    <w:rsid w:val="00552326"/>
    <w:rsid w:val="00553D31"/>
    <w:rsid w:val="00553D6E"/>
    <w:rsid w:val="005610B5"/>
    <w:rsid w:val="0056453C"/>
    <w:rsid w:val="005707F7"/>
    <w:rsid w:val="00576B23"/>
    <w:rsid w:val="005770B1"/>
    <w:rsid w:val="00577722"/>
    <w:rsid w:val="0058335A"/>
    <w:rsid w:val="005837B9"/>
    <w:rsid w:val="0058616B"/>
    <w:rsid w:val="00586A54"/>
    <w:rsid w:val="00586A8F"/>
    <w:rsid w:val="00590065"/>
    <w:rsid w:val="005912A9"/>
    <w:rsid w:val="0059139A"/>
    <w:rsid w:val="00591B11"/>
    <w:rsid w:val="005A7663"/>
    <w:rsid w:val="005B0C1F"/>
    <w:rsid w:val="005B16AE"/>
    <w:rsid w:val="005B215A"/>
    <w:rsid w:val="005B230B"/>
    <w:rsid w:val="005B275F"/>
    <w:rsid w:val="005B45D3"/>
    <w:rsid w:val="005B703F"/>
    <w:rsid w:val="005B75A0"/>
    <w:rsid w:val="005D0254"/>
    <w:rsid w:val="005D191A"/>
    <w:rsid w:val="005D36F9"/>
    <w:rsid w:val="005D3DEB"/>
    <w:rsid w:val="005E6D0B"/>
    <w:rsid w:val="005F2984"/>
    <w:rsid w:val="005F6503"/>
    <w:rsid w:val="0060261E"/>
    <w:rsid w:val="0060751D"/>
    <w:rsid w:val="0061035B"/>
    <w:rsid w:val="00613A99"/>
    <w:rsid w:val="00616A6A"/>
    <w:rsid w:val="0062358C"/>
    <w:rsid w:val="00626FEB"/>
    <w:rsid w:val="00627706"/>
    <w:rsid w:val="006368DE"/>
    <w:rsid w:val="00641B01"/>
    <w:rsid w:val="0064715C"/>
    <w:rsid w:val="006565FE"/>
    <w:rsid w:val="00662D08"/>
    <w:rsid w:val="00665E53"/>
    <w:rsid w:val="00671FF4"/>
    <w:rsid w:val="00673C84"/>
    <w:rsid w:val="0067658A"/>
    <w:rsid w:val="006769BB"/>
    <w:rsid w:val="00676F39"/>
    <w:rsid w:val="00677DA5"/>
    <w:rsid w:val="006851D1"/>
    <w:rsid w:val="0068658D"/>
    <w:rsid w:val="0069019D"/>
    <w:rsid w:val="00690F59"/>
    <w:rsid w:val="006913B3"/>
    <w:rsid w:val="00692C9D"/>
    <w:rsid w:val="00694675"/>
    <w:rsid w:val="00694D11"/>
    <w:rsid w:val="00695FA7"/>
    <w:rsid w:val="006A1E3B"/>
    <w:rsid w:val="006A4ABD"/>
    <w:rsid w:val="006A5A15"/>
    <w:rsid w:val="006A6569"/>
    <w:rsid w:val="006A7E0E"/>
    <w:rsid w:val="006B479B"/>
    <w:rsid w:val="006B5615"/>
    <w:rsid w:val="006B69B3"/>
    <w:rsid w:val="006B7051"/>
    <w:rsid w:val="006C2566"/>
    <w:rsid w:val="006C7302"/>
    <w:rsid w:val="006D0034"/>
    <w:rsid w:val="006D37C6"/>
    <w:rsid w:val="006D4699"/>
    <w:rsid w:val="006D5A1B"/>
    <w:rsid w:val="006D746B"/>
    <w:rsid w:val="006E1CBA"/>
    <w:rsid w:val="006E2C8E"/>
    <w:rsid w:val="006E36FD"/>
    <w:rsid w:val="006E7563"/>
    <w:rsid w:val="006F2D60"/>
    <w:rsid w:val="006F4BE5"/>
    <w:rsid w:val="00700A95"/>
    <w:rsid w:val="00701F68"/>
    <w:rsid w:val="00707030"/>
    <w:rsid w:val="007076DA"/>
    <w:rsid w:val="007120F8"/>
    <w:rsid w:val="00720E30"/>
    <w:rsid w:val="00720F52"/>
    <w:rsid w:val="00721A1B"/>
    <w:rsid w:val="00722D38"/>
    <w:rsid w:val="0072391A"/>
    <w:rsid w:val="007323A0"/>
    <w:rsid w:val="00732C8D"/>
    <w:rsid w:val="007402AA"/>
    <w:rsid w:val="007447C2"/>
    <w:rsid w:val="007471D0"/>
    <w:rsid w:val="00755AA3"/>
    <w:rsid w:val="00756DE7"/>
    <w:rsid w:val="007570D9"/>
    <w:rsid w:val="0076129B"/>
    <w:rsid w:val="00761728"/>
    <w:rsid w:val="00761D67"/>
    <w:rsid w:val="00765857"/>
    <w:rsid w:val="00770456"/>
    <w:rsid w:val="00772830"/>
    <w:rsid w:val="00782FB7"/>
    <w:rsid w:val="00792EDD"/>
    <w:rsid w:val="00793346"/>
    <w:rsid w:val="007935D1"/>
    <w:rsid w:val="0079374E"/>
    <w:rsid w:val="007A219B"/>
    <w:rsid w:val="007A3E61"/>
    <w:rsid w:val="007B4F86"/>
    <w:rsid w:val="007C0012"/>
    <w:rsid w:val="007C2562"/>
    <w:rsid w:val="007C282A"/>
    <w:rsid w:val="007C586F"/>
    <w:rsid w:val="007D2C05"/>
    <w:rsid w:val="007D5709"/>
    <w:rsid w:val="007E4FE0"/>
    <w:rsid w:val="007E7E89"/>
    <w:rsid w:val="007F0508"/>
    <w:rsid w:val="007F17CB"/>
    <w:rsid w:val="007F2A11"/>
    <w:rsid w:val="007F31B3"/>
    <w:rsid w:val="007F39B7"/>
    <w:rsid w:val="007F74FD"/>
    <w:rsid w:val="00805160"/>
    <w:rsid w:val="00810E27"/>
    <w:rsid w:val="00813131"/>
    <w:rsid w:val="00816816"/>
    <w:rsid w:val="0082174E"/>
    <w:rsid w:val="00821806"/>
    <w:rsid w:val="008275F5"/>
    <w:rsid w:val="00827BDB"/>
    <w:rsid w:val="008333C0"/>
    <w:rsid w:val="00833641"/>
    <w:rsid w:val="0083401F"/>
    <w:rsid w:val="00834FE2"/>
    <w:rsid w:val="008370A0"/>
    <w:rsid w:val="00837BF6"/>
    <w:rsid w:val="0085325D"/>
    <w:rsid w:val="00873598"/>
    <w:rsid w:val="00876730"/>
    <w:rsid w:val="00887455"/>
    <w:rsid w:val="0089291B"/>
    <w:rsid w:val="0089349E"/>
    <w:rsid w:val="00893AF8"/>
    <w:rsid w:val="008A6049"/>
    <w:rsid w:val="008B4F3C"/>
    <w:rsid w:val="008C4368"/>
    <w:rsid w:val="008C45A9"/>
    <w:rsid w:val="008D3B20"/>
    <w:rsid w:val="008D5682"/>
    <w:rsid w:val="008D5AB0"/>
    <w:rsid w:val="008E04D9"/>
    <w:rsid w:val="008E5EAF"/>
    <w:rsid w:val="008F1D26"/>
    <w:rsid w:val="008F39AA"/>
    <w:rsid w:val="008F4D03"/>
    <w:rsid w:val="008F5876"/>
    <w:rsid w:val="009001A0"/>
    <w:rsid w:val="0090160A"/>
    <w:rsid w:val="00904614"/>
    <w:rsid w:val="009074CC"/>
    <w:rsid w:val="00911513"/>
    <w:rsid w:val="009115A1"/>
    <w:rsid w:val="00914322"/>
    <w:rsid w:val="009144FA"/>
    <w:rsid w:val="00921B94"/>
    <w:rsid w:val="00926A48"/>
    <w:rsid w:val="00926A61"/>
    <w:rsid w:val="009272E7"/>
    <w:rsid w:val="00932027"/>
    <w:rsid w:val="009543AB"/>
    <w:rsid w:val="00954A53"/>
    <w:rsid w:val="00955194"/>
    <w:rsid w:val="009572DA"/>
    <w:rsid w:val="00972B1B"/>
    <w:rsid w:val="00974BF2"/>
    <w:rsid w:val="00974DA0"/>
    <w:rsid w:val="0097565B"/>
    <w:rsid w:val="00975A65"/>
    <w:rsid w:val="009835E1"/>
    <w:rsid w:val="00983952"/>
    <w:rsid w:val="00990686"/>
    <w:rsid w:val="00991F2D"/>
    <w:rsid w:val="009A5E83"/>
    <w:rsid w:val="009A6C2D"/>
    <w:rsid w:val="009B21B9"/>
    <w:rsid w:val="009B3844"/>
    <w:rsid w:val="009B653B"/>
    <w:rsid w:val="009C23F5"/>
    <w:rsid w:val="009D14C9"/>
    <w:rsid w:val="009D29EB"/>
    <w:rsid w:val="009D2AD1"/>
    <w:rsid w:val="009D2C2B"/>
    <w:rsid w:val="009E1652"/>
    <w:rsid w:val="009F00AD"/>
    <w:rsid w:val="009F03B4"/>
    <w:rsid w:val="009F3C85"/>
    <w:rsid w:val="00A01B46"/>
    <w:rsid w:val="00A02A53"/>
    <w:rsid w:val="00A05EFC"/>
    <w:rsid w:val="00A1149D"/>
    <w:rsid w:val="00A13373"/>
    <w:rsid w:val="00A228D5"/>
    <w:rsid w:val="00A24FE2"/>
    <w:rsid w:val="00A2594C"/>
    <w:rsid w:val="00A25EB2"/>
    <w:rsid w:val="00A30E9F"/>
    <w:rsid w:val="00A4268B"/>
    <w:rsid w:val="00A52598"/>
    <w:rsid w:val="00A526C5"/>
    <w:rsid w:val="00A52A7E"/>
    <w:rsid w:val="00A53689"/>
    <w:rsid w:val="00A550D2"/>
    <w:rsid w:val="00A5540A"/>
    <w:rsid w:val="00A5608F"/>
    <w:rsid w:val="00A57925"/>
    <w:rsid w:val="00A651FD"/>
    <w:rsid w:val="00A670F9"/>
    <w:rsid w:val="00A67ACF"/>
    <w:rsid w:val="00A67DB2"/>
    <w:rsid w:val="00A73206"/>
    <w:rsid w:val="00A76B24"/>
    <w:rsid w:val="00A84A15"/>
    <w:rsid w:val="00A901BD"/>
    <w:rsid w:val="00A9084F"/>
    <w:rsid w:val="00A95B36"/>
    <w:rsid w:val="00A96224"/>
    <w:rsid w:val="00AA225D"/>
    <w:rsid w:val="00AA2E11"/>
    <w:rsid w:val="00AA3222"/>
    <w:rsid w:val="00AA5C88"/>
    <w:rsid w:val="00AA6220"/>
    <w:rsid w:val="00AA6572"/>
    <w:rsid w:val="00AB2A92"/>
    <w:rsid w:val="00AB47FD"/>
    <w:rsid w:val="00AB52E1"/>
    <w:rsid w:val="00AB64CE"/>
    <w:rsid w:val="00AC1E40"/>
    <w:rsid w:val="00AC2BB8"/>
    <w:rsid w:val="00AC2E74"/>
    <w:rsid w:val="00AC4598"/>
    <w:rsid w:val="00AC5A6C"/>
    <w:rsid w:val="00AD2394"/>
    <w:rsid w:val="00AD53FE"/>
    <w:rsid w:val="00AE1407"/>
    <w:rsid w:val="00AE35FE"/>
    <w:rsid w:val="00AE5C85"/>
    <w:rsid w:val="00AE5CDF"/>
    <w:rsid w:val="00AF16E4"/>
    <w:rsid w:val="00AF2CB8"/>
    <w:rsid w:val="00AF4928"/>
    <w:rsid w:val="00AF6767"/>
    <w:rsid w:val="00B017C4"/>
    <w:rsid w:val="00B13547"/>
    <w:rsid w:val="00B13F10"/>
    <w:rsid w:val="00B17855"/>
    <w:rsid w:val="00B227B6"/>
    <w:rsid w:val="00B25980"/>
    <w:rsid w:val="00B305A8"/>
    <w:rsid w:val="00B326B7"/>
    <w:rsid w:val="00B32EA2"/>
    <w:rsid w:val="00B358B5"/>
    <w:rsid w:val="00B35D64"/>
    <w:rsid w:val="00B3657E"/>
    <w:rsid w:val="00B4235C"/>
    <w:rsid w:val="00B43480"/>
    <w:rsid w:val="00B45542"/>
    <w:rsid w:val="00B474AB"/>
    <w:rsid w:val="00B505A1"/>
    <w:rsid w:val="00B51941"/>
    <w:rsid w:val="00B51EE0"/>
    <w:rsid w:val="00B70A6E"/>
    <w:rsid w:val="00B71ABA"/>
    <w:rsid w:val="00B72BA4"/>
    <w:rsid w:val="00B73588"/>
    <w:rsid w:val="00B73A66"/>
    <w:rsid w:val="00B74171"/>
    <w:rsid w:val="00B76BB1"/>
    <w:rsid w:val="00B7712A"/>
    <w:rsid w:val="00B82BEE"/>
    <w:rsid w:val="00B83355"/>
    <w:rsid w:val="00B873C7"/>
    <w:rsid w:val="00B87569"/>
    <w:rsid w:val="00B913AE"/>
    <w:rsid w:val="00B9174D"/>
    <w:rsid w:val="00BA32E1"/>
    <w:rsid w:val="00BA7EA2"/>
    <w:rsid w:val="00BB5BC6"/>
    <w:rsid w:val="00BB6C4D"/>
    <w:rsid w:val="00BC0406"/>
    <w:rsid w:val="00BC3F79"/>
    <w:rsid w:val="00BC6110"/>
    <w:rsid w:val="00BC744C"/>
    <w:rsid w:val="00BD21FE"/>
    <w:rsid w:val="00BE24AB"/>
    <w:rsid w:val="00BE345A"/>
    <w:rsid w:val="00BE4AF8"/>
    <w:rsid w:val="00BF4180"/>
    <w:rsid w:val="00BF42E0"/>
    <w:rsid w:val="00BF6A53"/>
    <w:rsid w:val="00C021B9"/>
    <w:rsid w:val="00C036AC"/>
    <w:rsid w:val="00C065A8"/>
    <w:rsid w:val="00C14333"/>
    <w:rsid w:val="00C16E7C"/>
    <w:rsid w:val="00C24C3B"/>
    <w:rsid w:val="00C2693E"/>
    <w:rsid w:val="00C328A0"/>
    <w:rsid w:val="00C3532C"/>
    <w:rsid w:val="00C36C9F"/>
    <w:rsid w:val="00C36E03"/>
    <w:rsid w:val="00C50C62"/>
    <w:rsid w:val="00C5607C"/>
    <w:rsid w:val="00C56DF3"/>
    <w:rsid w:val="00C577F9"/>
    <w:rsid w:val="00C6152C"/>
    <w:rsid w:val="00C61BC7"/>
    <w:rsid w:val="00C637C2"/>
    <w:rsid w:val="00C63C32"/>
    <w:rsid w:val="00C75589"/>
    <w:rsid w:val="00C806DB"/>
    <w:rsid w:val="00C84509"/>
    <w:rsid w:val="00C845FF"/>
    <w:rsid w:val="00C90001"/>
    <w:rsid w:val="00C9015F"/>
    <w:rsid w:val="00C90562"/>
    <w:rsid w:val="00C95DBA"/>
    <w:rsid w:val="00CA1A5D"/>
    <w:rsid w:val="00CA7A84"/>
    <w:rsid w:val="00CB0EA8"/>
    <w:rsid w:val="00CB0F74"/>
    <w:rsid w:val="00CB188E"/>
    <w:rsid w:val="00CB2222"/>
    <w:rsid w:val="00CB23E1"/>
    <w:rsid w:val="00CB290D"/>
    <w:rsid w:val="00CB2E3E"/>
    <w:rsid w:val="00CB425C"/>
    <w:rsid w:val="00CB5367"/>
    <w:rsid w:val="00CB6502"/>
    <w:rsid w:val="00CC0742"/>
    <w:rsid w:val="00CC0DCB"/>
    <w:rsid w:val="00CC278A"/>
    <w:rsid w:val="00CC3B77"/>
    <w:rsid w:val="00CC4713"/>
    <w:rsid w:val="00CC52F3"/>
    <w:rsid w:val="00CD2BF5"/>
    <w:rsid w:val="00CE2869"/>
    <w:rsid w:val="00CE5A29"/>
    <w:rsid w:val="00CF320A"/>
    <w:rsid w:val="00CF355A"/>
    <w:rsid w:val="00CF5EE1"/>
    <w:rsid w:val="00D04D92"/>
    <w:rsid w:val="00D04FB2"/>
    <w:rsid w:val="00D1183F"/>
    <w:rsid w:val="00D14912"/>
    <w:rsid w:val="00D21B92"/>
    <w:rsid w:val="00D31206"/>
    <w:rsid w:val="00D37941"/>
    <w:rsid w:val="00D41314"/>
    <w:rsid w:val="00D458A7"/>
    <w:rsid w:val="00D6244C"/>
    <w:rsid w:val="00D65F03"/>
    <w:rsid w:val="00D6659B"/>
    <w:rsid w:val="00D712F1"/>
    <w:rsid w:val="00D719EE"/>
    <w:rsid w:val="00D80192"/>
    <w:rsid w:val="00D85C7B"/>
    <w:rsid w:val="00D92178"/>
    <w:rsid w:val="00D9492F"/>
    <w:rsid w:val="00DA062D"/>
    <w:rsid w:val="00DA5B4A"/>
    <w:rsid w:val="00DA6919"/>
    <w:rsid w:val="00DB4C1D"/>
    <w:rsid w:val="00DC1692"/>
    <w:rsid w:val="00DC381F"/>
    <w:rsid w:val="00DC3F54"/>
    <w:rsid w:val="00DC5963"/>
    <w:rsid w:val="00DD4E86"/>
    <w:rsid w:val="00DD53BE"/>
    <w:rsid w:val="00DE0E0D"/>
    <w:rsid w:val="00DE2380"/>
    <w:rsid w:val="00DE5056"/>
    <w:rsid w:val="00DF120E"/>
    <w:rsid w:val="00DF2D3D"/>
    <w:rsid w:val="00DF519B"/>
    <w:rsid w:val="00DF661C"/>
    <w:rsid w:val="00DF7CDF"/>
    <w:rsid w:val="00E0095C"/>
    <w:rsid w:val="00E01191"/>
    <w:rsid w:val="00E017AB"/>
    <w:rsid w:val="00E06B4A"/>
    <w:rsid w:val="00E1165E"/>
    <w:rsid w:val="00E20669"/>
    <w:rsid w:val="00E210AC"/>
    <w:rsid w:val="00E25DD1"/>
    <w:rsid w:val="00E275AC"/>
    <w:rsid w:val="00E33700"/>
    <w:rsid w:val="00E37EB2"/>
    <w:rsid w:val="00E4070F"/>
    <w:rsid w:val="00E44C5C"/>
    <w:rsid w:val="00E507B6"/>
    <w:rsid w:val="00E51332"/>
    <w:rsid w:val="00E56BD8"/>
    <w:rsid w:val="00E65D85"/>
    <w:rsid w:val="00E66255"/>
    <w:rsid w:val="00E70539"/>
    <w:rsid w:val="00E739FF"/>
    <w:rsid w:val="00E77984"/>
    <w:rsid w:val="00E8459E"/>
    <w:rsid w:val="00E90EDE"/>
    <w:rsid w:val="00E94BA9"/>
    <w:rsid w:val="00E95D3A"/>
    <w:rsid w:val="00E96FC1"/>
    <w:rsid w:val="00E97BEA"/>
    <w:rsid w:val="00EA0741"/>
    <w:rsid w:val="00EA4E57"/>
    <w:rsid w:val="00EA69C3"/>
    <w:rsid w:val="00EB1AE0"/>
    <w:rsid w:val="00EB3530"/>
    <w:rsid w:val="00EB37EC"/>
    <w:rsid w:val="00EB3C9A"/>
    <w:rsid w:val="00EB3F85"/>
    <w:rsid w:val="00EB63B5"/>
    <w:rsid w:val="00EB7EEB"/>
    <w:rsid w:val="00EC4555"/>
    <w:rsid w:val="00EC692B"/>
    <w:rsid w:val="00ED1BE0"/>
    <w:rsid w:val="00ED7ACD"/>
    <w:rsid w:val="00EE7881"/>
    <w:rsid w:val="00EF1903"/>
    <w:rsid w:val="00EF1ABB"/>
    <w:rsid w:val="00EF27AA"/>
    <w:rsid w:val="00EF70C7"/>
    <w:rsid w:val="00F01B1E"/>
    <w:rsid w:val="00F1229E"/>
    <w:rsid w:val="00F15C0D"/>
    <w:rsid w:val="00F166B7"/>
    <w:rsid w:val="00F20FC8"/>
    <w:rsid w:val="00F217F0"/>
    <w:rsid w:val="00F24284"/>
    <w:rsid w:val="00F303EA"/>
    <w:rsid w:val="00F32513"/>
    <w:rsid w:val="00F32EF8"/>
    <w:rsid w:val="00F36879"/>
    <w:rsid w:val="00F41B1B"/>
    <w:rsid w:val="00F44EC2"/>
    <w:rsid w:val="00F53053"/>
    <w:rsid w:val="00F542C4"/>
    <w:rsid w:val="00F5641C"/>
    <w:rsid w:val="00F57304"/>
    <w:rsid w:val="00F61EAD"/>
    <w:rsid w:val="00F62F8E"/>
    <w:rsid w:val="00F63495"/>
    <w:rsid w:val="00F71E9E"/>
    <w:rsid w:val="00F7303B"/>
    <w:rsid w:val="00F82840"/>
    <w:rsid w:val="00F90C9A"/>
    <w:rsid w:val="00F910EC"/>
    <w:rsid w:val="00F91159"/>
    <w:rsid w:val="00F928FF"/>
    <w:rsid w:val="00F96BE2"/>
    <w:rsid w:val="00F97915"/>
    <w:rsid w:val="00F97974"/>
    <w:rsid w:val="00F97E9C"/>
    <w:rsid w:val="00FA0FEC"/>
    <w:rsid w:val="00FA1B46"/>
    <w:rsid w:val="00FA1B9F"/>
    <w:rsid w:val="00FA1D2E"/>
    <w:rsid w:val="00FA64B5"/>
    <w:rsid w:val="00FA6798"/>
    <w:rsid w:val="00FB5DC0"/>
    <w:rsid w:val="00FB633F"/>
    <w:rsid w:val="00FC5339"/>
    <w:rsid w:val="00FD7C0E"/>
    <w:rsid w:val="00FE29B4"/>
    <w:rsid w:val="05395D6B"/>
    <w:rsid w:val="103D7BD2"/>
    <w:rsid w:val="16B518FD"/>
    <w:rsid w:val="18D99517"/>
    <w:rsid w:val="1C427F4E"/>
    <w:rsid w:val="21178408"/>
    <w:rsid w:val="2FC22E3F"/>
    <w:rsid w:val="32BD9A31"/>
    <w:rsid w:val="3560D927"/>
    <w:rsid w:val="35AE491C"/>
    <w:rsid w:val="372270E2"/>
    <w:rsid w:val="42AA6D24"/>
    <w:rsid w:val="4715CA33"/>
    <w:rsid w:val="54F36C92"/>
    <w:rsid w:val="59880528"/>
    <w:rsid w:val="5A5E3F91"/>
    <w:rsid w:val="5CCCBD02"/>
    <w:rsid w:val="5E26E7B3"/>
    <w:rsid w:val="6EAC0A96"/>
    <w:rsid w:val="6EC228D8"/>
    <w:rsid w:val="6EC765F4"/>
    <w:rsid w:val="70D54A7F"/>
    <w:rsid w:val="718E60EE"/>
    <w:rsid w:val="74139F84"/>
    <w:rsid w:val="74A9C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06A36C"/>
  <w15:docId w15:val="{0EFD3154-0DC7-C147-907D-0D687D25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7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53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C9015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92C9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C4713"/>
    <w:rPr>
      <w:sz w:val="20"/>
      <w:szCs w:val="20"/>
    </w:rPr>
  </w:style>
  <w:style w:type="character" w:customStyle="1" w:styleId="FootnoteTextChar">
    <w:name w:val="Footnote Text Char"/>
    <w:basedOn w:val="DefaultParagraphFont"/>
    <w:link w:val="FootnoteText"/>
    <w:uiPriority w:val="99"/>
    <w:rsid w:val="00CC4713"/>
    <w:rPr>
      <w:rFonts w:ascii="Times New Roman" w:eastAsia="Times New Roman" w:hAnsi="Times New Roman" w:cs="Times New Roman"/>
      <w:sz w:val="20"/>
      <w:szCs w:val="20"/>
    </w:rPr>
  </w:style>
  <w:style w:type="character" w:styleId="FootnoteReference">
    <w:name w:val="footnote reference"/>
    <w:aliases w:val="Footnote Reference2,IR footnote"/>
    <w:uiPriority w:val="99"/>
    <w:rsid w:val="00CC4713"/>
    <w:rPr>
      <w:vertAlign w:val="superscript"/>
    </w:rPr>
  </w:style>
  <w:style w:type="paragraph" w:styleId="ListBullet">
    <w:name w:val="List Bullet"/>
    <w:basedOn w:val="Normal"/>
    <w:autoRedefine/>
    <w:rsid w:val="00CC4713"/>
    <w:pPr>
      <w:widowControl w:val="0"/>
      <w:autoSpaceDE w:val="0"/>
      <w:autoSpaceDN w:val="0"/>
      <w:adjustRightInd w:val="0"/>
      <w:spacing w:line="480" w:lineRule="auto"/>
      <w:ind w:firstLine="720"/>
    </w:pPr>
  </w:style>
  <w:style w:type="character" w:customStyle="1" w:styleId="term">
    <w:name w:val="term"/>
    <w:basedOn w:val="DefaultParagraphFont"/>
    <w:rsid w:val="00CC4713"/>
  </w:style>
  <w:style w:type="paragraph" w:styleId="ListParagraph">
    <w:name w:val="List Paragraph"/>
    <w:basedOn w:val="Normal"/>
    <w:uiPriority w:val="34"/>
    <w:qFormat/>
    <w:rsid w:val="00CC4713"/>
    <w:pPr>
      <w:ind w:left="720"/>
      <w:contextualSpacing/>
    </w:pPr>
    <w:rPr>
      <w:rFonts w:eastAsia="MS Minngs"/>
      <w:lang w:eastAsia="ja-JP"/>
    </w:rPr>
  </w:style>
  <w:style w:type="character" w:customStyle="1" w:styleId="documentbody">
    <w:name w:val="documentbody"/>
    <w:rsid w:val="00CC4713"/>
  </w:style>
  <w:style w:type="character" w:styleId="CommentReference">
    <w:name w:val="annotation reference"/>
    <w:basedOn w:val="DefaultParagraphFont"/>
    <w:uiPriority w:val="99"/>
    <w:semiHidden/>
    <w:unhideWhenUsed/>
    <w:rsid w:val="00506801"/>
    <w:rPr>
      <w:sz w:val="16"/>
      <w:szCs w:val="16"/>
    </w:rPr>
  </w:style>
  <w:style w:type="paragraph" w:styleId="CommentText">
    <w:name w:val="annotation text"/>
    <w:basedOn w:val="Normal"/>
    <w:link w:val="CommentTextChar"/>
    <w:uiPriority w:val="99"/>
    <w:unhideWhenUsed/>
    <w:rsid w:val="00506801"/>
    <w:rPr>
      <w:sz w:val="20"/>
      <w:szCs w:val="20"/>
    </w:rPr>
  </w:style>
  <w:style w:type="character" w:customStyle="1" w:styleId="CommentTextChar">
    <w:name w:val="Comment Text Char"/>
    <w:basedOn w:val="DefaultParagraphFont"/>
    <w:link w:val="CommentText"/>
    <w:uiPriority w:val="99"/>
    <w:rsid w:val="005068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6801"/>
    <w:rPr>
      <w:b/>
      <w:bCs/>
    </w:rPr>
  </w:style>
  <w:style w:type="character" w:customStyle="1" w:styleId="CommentSubjectChar">
    <w:name w:val="Comment Subject Char"/>
    <w:basedOn w:val="CommentTextChar"/>
    <w:link w:val="CommentSubject"/>
    <w:uiPriority w:val="99"/>
    <w:semiHidden/>
    <w:rsid w:val="0050680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6801"/>
    <w:rPr>
      <w:rFonts w:ascii="Tahoma" w:hAnsi="Tahoma" w:cs="Tahoma"/>
      <w:sz w:val="16"/>
      <w:szCs w:val="16"/>
    </w:rPr>
  </w:style>
  <w:style w:type="character" w:customStyle="1" w:styleId="BalloonTextChar">
    <w:name w:val="Balloon Text Char"/>
    <w:basedOn w:val="DefaultParagraphFont"/>
    <w:link w:val="BalloonText"/>
    <w:uiPriority w:val="99"/>
    <w:semiHidden/>
    <w:rsid w:val="00506801"/>
    <w:rPr>
      <w:rFonts w:ascii="Tahoma" w:eastAsia="Times New Roman" w:hAnsi="Tahoma" w:cs="Tahoma"/>
      <w:sz w:val="16"/>
      <w:szCs w:val="16"/>
    </w:rPr>
  </w:style>
  <w:style w:type="character" w:customStyle="1" w:styleId="apple-converted-space">
    <w:name w:val="apple-converted-space"/>
    <w:basedOn w:val="DefaultParagraphFont"/>
    <w:rsid w:val="000D7F80"/>
  </w:style>
  <w:style w:type="paragraph" w:customStyle="1" w:styleId="Default">
    <w:name w:val="Default"/>
    <w:rsid w:val="000D7F80"/>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srfcpassagedeactivated">
    <w:name w:val="ss_rfcpassage_deactivated"/>
    <w:basedOn w:val="DefaultParagraphFont"/>
    <w:rsid w:val="000D7F80"/>
  </w:style>
  <w:style w:type="character" w:customStyle="1" w:styleId="sspaghide1">
    <w:name w:val="ss_pag_hide1"/>
    <w:basedOn w:val="DefaultParagraphFont"/>
    <w:rsid w:val="000D7F80"/>
    <w:rPr>
      <w:vanish/>
      <w:webHidden w:val="0"/>
      <w:specVanish w:val="0"/>
    </w:rPr>
  </w:style>
  <w:style w:type="character" w:customStyle="1" w:styleId="pnote">
    <w:name w:val="pnote"/>
    <w:basedOn w:val="DefaultParagraphFont"/>
    <w:rsid w:val="000D7F80"/>
  </w:style>
  <w:style w:type="paragraph" w:styleId="Header">
    <w:name w:val="header"/>
    <w:basedOn w:val="Normal"/>
    <w:link w:val="HeaderChar"/>
    <w:uiPriority w:val="99"/>
    <w:unhideWhenUsed/>
    <w:rsid w:val="003B6848"/>
    <w:pPr>
      <w:tabs>
        <w:tab w:val="center" w:pos="4680"/>
        <w:tab w:val="right" w:pos="9360"/>
      </w:tabs>
    </w:pPr>
  </w:style>
  <w:style w:type="character" w:customStyle="1" w:styleId="HeaderChar">
    <w:name w:val="Header Char"/>
    <w:basedOn w:val="DefaultParagraphFont"/>
    <w:link w:val="Header"/>
    <w:uiPriority w:val="99"/>
    <w:rsid w:val="003B68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6848"/>
    <w:pPr>
      <w:tabs>
        <w:tab w:val="center" w:pos="4680"/>
        <w:tab w:val="right" w:pos="9360"/>
      </w:tabs>
    </w:pPr>
  </w:style>
  <w:style w:type="character" w:customStyle="1" w:styleId="FooterChar">
    <w:name w:val="Footer Char"/>
    <w:basedOn w:val="DefaultParagraphFont"/>
    <w:link w:val="Footer"/>
    <w:uiPriority w:val="99"/>
    <w:rsid w:val="003B684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174D"/>
    <w:rPr>
      <w:color w:val="0000FF"/>
      <w:u w:val="single"/>
    </w:rPr>
  </w:style>
  <w:style w:type="character" w:customStyle="1" w:styleId="ptext-">
    <w:name w:val="ptext-"/>
    <w:basedOn w:val="DefaultParagraphFont"/>
    <w:rsid w:val="00EA69C3"/>
  </w:style>
  <w:style w:type="character" w:customStyle="1" w:styleId="ptext-5800-14">
    <w:name w:val="ptext-5800-14"/>
    <w:basedOn w:val="DefaultParagraphFont"/>
    <w:rsid w:val="00EA69C3"/>
  </w:style>
  <w:style w:type="character" w:customStyle="1" w:styleId="Heading2Char">
    <w:name w:val="Heading 2 Char"/>
    <w:basedOn w:val="DefaultParagraphFont"/>
    <w:link w:val="Heading2"/>
    <w:uiPriority w:val="9"/>
    <w:semiHidden/>
    <w:rsid w:val="00C9015F"/>
    <w:rPr>
      <w:rFonts w:ascii="Times New Roman" w:eastAsia="Times New Roman" w:hAnsi="Times New Roman" w:cs="Times New Roman"/>
      <w:b/>
      <w:bCs/>
      <w:sz w:val="36"/>
      <w:szCs w:val="36"/>
    </w:rPr>
  </w:style>
  <w:style w:type="character" w:styleId="Emphasis">
    <w:name w:val="Emphasis"/>
    <w:basedOn w:val="DefaultParagraphFont"/>
    <w:uiPriority w:val="20"/>
    <w:qFormat/>
    <w:rsid w:val="00F542C4"/>
    <w:rPr>
      <w:i/>
      <w:iCs/>
    </w:rPr>
  </w:style>
  <w:style w:type="paragraph" w:styleId="NormalWeb">
    <w:name w:val="Normal (Web)"/>
    <w:basedOn w:val="Normal"/>
    <w:uiPriority w:val="99"/>
    <w:unhideWhenUsed/>
    <w:rsid w:val="00B32EA2"/>
    <w:pPr>
      <w:spacing w:before="100" w:beforeAutospacing="1" w:after="100" w:afterAutospacing="1"/>
    </w:pPr>
  </w:style>
  <w:style w:type="character" w:customStyle="1" w:styleId="highlighted">
    <w:name w:val="highlighted"/>
    <w:basedOn w:val="DefaultParagraphFont"/>
    <w:rsid w:val="000F0BA5"/>
  </w:style>
  <w:style w:type="character" w:customStyle="1" w:styleId="ssit">
    <w:name w:val="ss_it"/>
    <w:basedOn w:val="DefaultParagraphFont"/>
    <w:rsid w:val="000F0BA5"/>
  </w:style>
  <w:style w:type="numbering" w:customStyle="1" w:styleId="CurrentList1">
    <w:name w:val="Current List1"/>
    <w:uiPriority w:val="99"/>
    <w:rsid w:val="00AE5C85"/>
    <w:pPr>
      <w:numPr>
        <w:numId w:val="11"/>
      </w:numPr>
    </w:pPr>
  </w:style>
  <w:style w:type="character" w:customStyle="1" w:styleId="Heading1Char">
    <w:name w:val="Heading 1 Char"/>
    <w:basedOn w:val="DefaultParagraphFont"/>
    <w:link w:val="Heading1"/>
    <w:uiPriority w:val="9"/>
    <w:rsid w:val="00C3532C"/>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461650"/>
    <w:rPr>
      <w:color w:val="605E5C"/>
      <w:shd w:val="clear" w:color="auto" w:fill="E1DFDD"/>
    </w:rPr>
  </w:style>
  <w:style w:type="character" w:customStyle="1" w:styleId="Heading3Char">
    <w:name w:val="Heading 3 Char"/>
    <w:basedOn w:val="DefaultParagraphFont"/>
    <w:link w:val="Heading3"/>
    <w:uiPriority w:val="9"/>
    <w:semiHidden/>
    <w:rsid w:val="00692C9D"/>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75589"/>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62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065">
      <w:bodyDiv w:val="1"/>
      <w:marLeft w:val="0"/>
      <w:marRight w:val="0"/>
      <w:marTop w:val="0"/>
      <w:marBottom w:val="0"/>
      <w:divBdr>
        <w:top w:val="none" w:sz="0" w:space="0" w:color="auto"/>
        <w:left w:val="none" w:sz="0" w:space="0" w:color="auto"/>
        <w:bottom w:val="none" w:sz="0" w:space="0" w:color="auto"/>
        <w:right w:val="none" w:sz="0" w:space="0" w:color="auto"/>
      </w:divBdr>
      <w:divsChild>
        <w:div w:id="793212984">
          <w:marLeft w:val="0"/>
          <w:marRight w:val="0"/>
          <w:marTop w:val="0"/>
          <w:marBottom w:val="0"/>
          <w:divBdr>
            <w:top w:val="none" w:sz="0" w:space="0" w:color="auto"/>
            <w:left w:val="none" w:sz="0" w:space="0" w:color="auto"/>
            <w:bottom w:val="none" w:sz="0" w:space="0" w:color="auto"/>
            <w:right w:val="none" w:sz="0" w:space="0" w:color="auto"/>
          </w:divBdr>
        </w:div>
        <w:div w:id="806124512">
          <w:marLeft w:val="0"/>
          <w:marRight w:val="0"/>
          <w:marTop w:val="0"/>
          <w:marBottom w:val="0"/>
          <w:divBdr>
            <w:top w:val="none" w:sz="0" w:space="0" w:color="auto"/>
            <w:left w:val="none" w:sz="0" w:space="0" w:color="auto"/>
            <w:bottom w:val="none" w:sz="0" w:space="0" w:color="auto"/>
            <w:right w:val="none" w:sz="0" w:space="0" w:color="auto"/>
          </w:divBdr>
        </w:div>
      </w:divsChild>
    </w:div>
    <w:div w:id="63333623">
      <w:bodyDiv w:val="1"/>
      <w:marLeft w:val="0"/>
      <w:marRight w:val="0"/>
      <w:marTop w:val="0"/>
      <w:marBottom w:val="0"/>
      <w:divBdr>
        <w:top w:val="none" w:sz="0" w:space="0" w:color="auto"/>
        <w:left w:val="none" w:sz="0" w:space="0" w:color="auto"/>
        <w:bottom w:val="none" w:sz="0" w:space="0" w:color="auto"/>
        <w:right w:val="none" w:sz="0" w:space="0" w:color="auto"/>
      </w:divBdr>
      <w:divsChild>
        <w:div w:id="1241257045">
          <w:marLeft w:val="0"/>
          <w:marRight w:val="0"/>
          <w:marTop w:val="0"/>
          <w:marBottom w:val="0"/>
          <w:divBdr>
            <w:top w:val="none" w:sz="0" w:space="0" w:color="auto"/>
            <w:left w:val="none" w:sz="0" w:space="0" w:color="auto"/>
            <w:bottom w:val="none" w:sz="0" w:space="0" w:color="auto"/>
            <w:right w:val="none" w:sz="0" w:space="0" w:color="auto"/>
          </w:divBdr>
        </w:div>
      </w:divsChild>
    </w:div>
    <w:div w:id="90324237">
      <w:bodyDiv w:val="1"/>
      <w:marLeft w:val="0"/>
      <w:marRight w:val="0"/>
      <w:marTop w:val="0"/>
      <w:marBottom w:val="0"/>
      <w:divBdr>
        <w:top w:val="none" w:sz="0" w:space="0" w:color="auto"/>
        <w:left w:val="none" w:sz="0" w:space="0" w:color="auto"/>
        <w:bottom w:val="none" w:sz="0" w:space="0" w:color="auto"/>
        <w:right w:val="none" w:sz="0" w:space="0" w:color="auto"/>
      </w:divBdr>
    </w:div>
    <w:div w:id="115954695">
      <w:bodyDiv w:val="1"/>
      <w:marLeft w:val="0"/>
      <w:marRight w:val="0"/>
      <w:marTop w:val="0"/>
      <w:marBottom w:val="0"/>
      <w:divBdr>
        <w:top w:val="none" w:sz="0" w:space="0" w:color="auto"/>
        <w:left w:val="none" w:sz="0" w:space="0" w:color="auto"/>
        <w:bottom w:val="none" w:sz="0" w:space="0" w:color="auto"/>
        <w:right w:val="none" w:sz="0" w:space="0" w:color="auto"/>
      </w:divBdr>
      <w:divsChild>
        <w:div w:id="2004357197">
          <w:marLeft w:val="0"/>
          <w:marRight w:val="0"/>
          <w:marTop w:val="0"/>
          <w:marBottom w:val="0"/>
          <w:divBdr>
            <w:top w:val="none" w:sz="0" w:space="0" w:color="auto"/>
            <w:left w:val="none" w:sz="0" w:space="0" w:color="auto"/>
            <w:bottom w:val="none" w:sz="0" w:space="0" w:color="auto"/>
            <w:right w:val="none" w:sz="0" w:space="0" w:color="auto"/>
          </w:divBdr>
        </w:div>
        <w:div w:id="1707287787">
          <w:marLeft w:val="0"/>
          <w:marRight w:val="0"/>
          <w:marTop w:val="0"/>
          <w:marBottom w:val="0"/>
          <w:divBdr>
            <w:top w:val="none" w:sz="0" w:space="0" w:color="auto"/>
            <w:left w:val="none" w:sz="0" w:space="0" w:color="auto"/>
            <w:bottom w:val="none" w:sz="0" w:space="0" w:color="auto"/>
            <w:right w:val="none" w:sz="0" w:space="0" w:color="auto"/>
          </w:divBdr>
        </w:div>
        <w:div w:id="1483815168">
          <w:marLeft w:val="0"/>
          <w:marRight w:val="0"/>
          <w:marTop w:val="0"/>
          <w:marBottom w:val="0"/>
          <w:divBdr>
            <w:top w:val="none" w:sz="0" w:space="0" w:color="auto"/>
            <w:left w:val="none" w:sz="0" w:space="0" w:color="auto"/>
            <w:bottom w:val="none" w:sz="0" w:space="0" w:color="auto"/>
            <w:right w:val="none" w:sz="0" w:space="0" w:color="auto"/>
          </w:divBdr>
        </w:div>
        <w:div w:id="1491098661">
          <w:marLeft w:val="0"/>
          <w:marRight w:val="0"/>
          <w:marTop w:val="0"/>
          <w:marBottom w:val="0"/>
          <w:divBdr>
            <w:top w:val="none" w:sz="0" w:space="0" w:color="auto"/>
            <w:left w:val="none" w:sz="0" w:space="0" w:color="auto"/>
            <w:bottom w:val="none" w:sz="0" w:space="0" w:color="auto"/>
            <w:right w:val="none" w:sz="0" w:space="0" w:color="auto"/>
          </w:divBdr>
        </w:div>
        <w:div w:id="685138008">
          <w:marLeft w:val="0"/>
          <w:marRight w:val="0"/>
          <w:marTop w:val="0"/>
          <w:marBottom w:val="0"/>
          <w:divBdr>
            <w:top w:val="none" w:sz="0" w:space="0" w:color="auto"/>
            <w:left w:val="none" w:sz="0" w:space="0" w:color="auto"/>
            <w:bottom w:val="none" w:sz="0" w:space="0" w:color="auto"/>
            <w:right w:val="none" w:sz="0" w:space="0" w:color="auto"/>
          </w:divBdr>
        </w:div>
        <w:div w:id="857042474">
          <w:marLeft w:val="0"/>
          <w:marRight w:val="0"/>
          <w:marTop w:val="0"/>
          <w:marBottom w:val="0"/>
          <w:divBdr>
            <w:top w:val="none" w:sz="0" w:space="0" w:color="auto"/>
            <w:left w:val="none" w:sz="0" w:space="0" w:color="auto"/>
            <w:bottom w:val="none" w:sz="0" w:space="0" w:color="auto"/>
            <w:right w:val="none" w:sz="0" w:space="0" w:color="auto"/>
          </w:divBdr>
        </w:div>
        <w:div w:id="1823497512">
          <w:marLeft w:val="0"/>
          <w:marRight w:val="0"/>
          <w:marTop w:val="0"/>
          <w:marBottom w:val="0"/>
          <w:divBdr>
            <w:top w:val="none" w:sz="0" w:space="0" w:color="auto"/>
            <w:left w:val="none" w:sz="0" w:space="0" w:color="auto"/>
            <w:bottom w:val="none" w:sz="0" w:space="0" w:color="auto"/>
            <w:right w:val="none" w:sz="0" w:space="0" w:color="auto"/>
          </w:divBdr>
        </w:div>
        <w:div w:id="2006276327">
          <w:marLeft w:val="0"/>
          <w:marRight w:val="0"/>
          <w:marTop w:val="0"/>
          <w:marBottom w:val="0"/>
          <w:divBdr>
            <w:top w:val="none" w:sz="0" w:space="0" w:color="auto"/>
            <w:left w:val="none" w:sz="0" w:space="0" w:color="auto"/>
            <w:bottom w:val="none" w:sz="0" w:space="0" w:color="auto"/>
            <w:right w:val="none" w:sz="0" w:space="0" w:color="auto"/>
          </w:divBdr>
        </w:div>
        <w:div w:id="1021007918">
          <w:marLeft w:val="0"/>
          <w:marRight w:val="0"/>
          <w:marTop w:val="0"/>
          <w:marBottom w:val="0"/>
          <w:divBdr>
            <w:top w:val="none" w:sz="0" w:space="0" w:color="auto"/>
            <w:left w:val="none" w:sz="0" w:space="0" w:color="auto"/>
            <w:bottom w:val="none" w:sz="0" w:space="0" w:color="auto"/>
            <w:right w:val="none" w:sz="0" w:space="0" w:color="auto"/>
          </w:divBdr>
        </w:div>
        <w:div w:id="176310178">
          <w:marLeft w:val="0"/>
          <w:marRight w:val="0"/>
          <w:marTop w:val="0"/>
          <w:marBottom w:val="0"/>
          <w:divBdr>
            <w:top w:val="none" w:sz="0" w:space="0" w:color="auto"/>
            <w:left w:val="none" w:sz="0" w:space="0" w:color="auto"/>
            <w:bottom w:val="none" w:sz="0" w:space="0" w:color="auto"/>
            <w:right w:val="none" w:sz="0" w:space="0" w:color="auto"/>
          </w:divBdr>
        </w:div>
        <w:div w:id="830868424">
          <w:marLeft w:val="0"/>
          <w:marRight w:val="0"/>
          <w:marTop w:val="0"/>
          <w:marBottom w:val="0"/>
          <w:divBdr>
            <w:top w:val="none" w:sz="0" w:space="0" w:color="auto"/>
            <w:left w:val="none" w:sz="0" w:space="0" w:color="auto"/>
            <w:bottom w:val="none" w:sz="0" w:space="0" w:color="auto"/>
            <w:right w:val="none" w:sz="0" w:space="0" w:color="auto"/>
          </w:divBdr>
        </w:div>
        <w:div w:id="367416220">
          <w:marLeft w:val="0"/>
          <w:marRight w:val="0"/>
          <w:marTop w:val="0"/>
          <w:marBottom w:val="0"/>
          <w:divBdr>
            <w:top w:val="none" w:sz="0" w:space="0" w:color="auto"/>
            <w:left w:val="none" w:sz="0" w:space="0" w:color="auto"/>
            <w:bottom w:val="none" w:sz="0" w:space="0" w:color="auto"/>
            <w:right w:val="none" w:sz="0" w:space="0" w:color="auto"/>
          </w:divBdr>
        </w:div>
        <w:div w:id="444076895">
          <w:marLeft w:val="0"/>
          <w:marRight w:val="0"/>
          <w:marTop w:val="0"/>
          <w:marBottom w:val="0"/>
          <w:divBdr>
            <w:top w:val="none" w:sz="0" w:space="0" w:color="auto"/>
            <w:left w:val="none" w:sz="0" w:space="0" w:color="auto"/>
            <w:bottom w:val="none" w:sz="0" w:space="0" w:color="auto"/>
            <w:right w:val="none" w:sz="0" w:space="0" w:color="auto"/>
          </w:divBdr>
        </w:div>
        <w:div w:id="829754652">
          <w:marLeft w:val="0"/>
          <w:marRight w:val="0"/>
          <w:marTop w:val="0"/>
          <w:marBottom w:val="0"/>
          <w:divBdr>
            <w:top w:val="none" w:sz="0" w:space="0" w:color="auto"/>
            <w:left w:val="none" w:sz="0" w:space="0" w:color="auto"/>
            <w:bottom w:val="none" w:sz="0" w:space="0" w:color="auto"/>
            <w:right w:val="none" w:sz="0" w:space="0" w:color="auto"/>
          </w:divBdr>
        </w:div>
        <w:div w:id="1796487651">
          <w:marLeft w:val="0"/>
          <w:marRight w:val="0"/>
          <w:marTop w:val="0"/>
          <w:marBottom w:val="0"/>
          <w:divBdr>
            <w:top w:val="none" w:sz="0" w:space="0" w:color="auto"/>
            <w:left w:val="none" w:sz="0" w:space="0" w:color="auto"/>
            <w:bottom w:val="none" w:sz="0" w:space="0" w:color="auto"/>
            <w:right w:val="none" w:sz="0" w:space="0" w:color="auto"/>
          </w:divBdr>
        </w:div>
        <w:div w:id="1192186183">
          <w:marLeft w:val="0"/>
          <w:marRight w:val="0"/>
          <w:marTop w:val="0"/>
          <w:marBottom w:val="0"/>
          <w:divBdr>
            <w:top w:val="none" w:sz="0" w:space="0" w:color="auto"/>
            <w:left w:val="none" w:sz="0" w:space="0" w:color="auto"/>
            <w:bottom w:val="none" w:sz="0" w:space="0" w:color="auto"/>
            <w:right w:val="none" w:sz="0" w:space="0" w:color="auto"/>
          </w:divBdr>
        </w:div>
        <w:div w:id="862404168">
          <w:marLeft w:val="0"/>
          <w:marRight w:val="0"/>
          <w:marTop w:val="0"/>
          <w:marBottom w:val="0"/>
          <w:divBdr>
            <w:top w:val="none" w:sz="0" w:space="0" w:color="auto"/>
            <w:left w:val="none" w:sz="0" w:space="0" w:color="auto"/>
            <w:bottom w:val="none" w:sz="0" w:space="0" w:color="auto"/>
            <w:right w:val="none" w:sz="0" w:space="0" w:color="auto"/>
          </w:divBdr>
        </w:div>
        <w:div w:id="1828016831">
          <w:marLeft w:val="0"/>
          <w:marRight w:val="0"/>
          <w:marTop w:val="0"/>
          <w:marBottom w:val="0"/>
          <w:divBdr>
            <w:top w:val="none" w:sz="0" w:space="0" w:color="auto"/>
            <w:left w:val="none" w:sz="0" w:space="0" w:color="auto"/>
            <w:bottom w:val="none" w:sz="0" w:space="0" w:color="auto"/>
            <w:right w:val="none" w:sz="0" w:space="0" w:color="auto"/>
          </w:divBdr>
        </w:div>
        <w:div w:id="252393773">
          <w:marLeft w:val="0"/>
          <w:marRight w:val="0"/>
          <w:marTop w:val="0"/>
          <w:marBottom w:val="0"/>
          <w:divBdr>
            <w:top w:val="none" w:sz="0" w:space="0" w:color="auto"/>
            <w:left w:val="none" w:sz="0" w:space="0" w:color="auto"/>
            <w:bottom w:val="none" w:sz="0" w:space="0" w:color="auto"/>
            <w:right w:val="none" w:sz="0" w:space="0" w:color="auto"/>
          </w:divBdr>
        </w:div>
      </w:divsChild>
    </w:div>
    <w:div w:id="137646544">
      <w:bodyDiv w:val="1"/>
      <w:marLeft w:val="0"/>
      <w:marRight w:val="0"/>
      <w:marTop w:val="0"/>
      <w:marBottom w:val="0"/>
      <w:divBdr>
        <w:top w:val="none" w:sz="0" w:space="0" w:color="auto"/>
        <w:left w:val="none" w:sz="0" w:space="0" w:color="auto"/>
        <w:bottom w:val="none" w:sz="0" w:space="0" w:color="auto"/>
        <w:right w:val="none" w:sz="0" w:space="0" w:color="auto"/>
      </w:divBdr>
    </w:div>
    <w:div w:id="161822502">
      <w:bodyDiv w:val="1"/>
      <w:marLeft w:val="0"/>
      <w:marRight w:val="0"/>
      <w:marTop w:val="0"/>
      <w:marBottom w:val="0"/>
      <w:divBdr>
        <w:top w:val="none" w:sz="0" w:space="0" w:color="auto"/>
        <w:left w:val="none" w:sz="0" w:space="0" w:color="auto"/>
        <w:bottom w:val="none" w:sz="0" w:space="0" w:color="auto"/>
        <w:right w:val="none" w:sz="0" w:space="0" w:color="auto"/>
      </w:divBdr>
    </w:div>
    <w:div w:id="322123559">
      <w:bodyDiv w:val="1"/>
      <w:marLeft w:val="0"/>
      <w:marRight w:val="0"/>
      <w:marTop w:val="0"/>
      <w:marBottom w:val="0"/>
      <w:divBdr>
        <w:top w:val="none" w:sz="0" w:space="0" w:color="auto"/>
        <w:left w:val="none" w:sz="0" w:space="0" w:color="auto"/>
        <w:bottom w:val="none" w:sz="0" w:space="0" w:color="auto"/>
        <w:right w:val="none" w:sz="0" w:space="0" w:color="auto"/>
      </w:divBdr>
      <w:divsChild>
        <w:div w:id="687830073">
          <w:marLeft w:val="0"/>
          <w:marRight w:val="0"/>
          <w:marTop w:val="0"/>
          <w:marBottom w:val="0"/>
          <w:divBdr>
            <w:top w:val="none" w:sz="0" w:space="0" w:color="auto"/>
            <w:left w:val="none" w:sz="0" w:space="0" w:color="auto"/>
            <w:bottom w:val="none" w:sz="0" w:space="0" w:color="auto"/>
            <w:right w:val="none" w:sz="0" w:space="0" w:color="auto"/>
          </w:divBdr>
        </w:div>
        <w:div w:id="1820532363">
          <w:marLeft w:val="0"/>
          <w:marRight w:val="0"/>
          <w:marTop w:val="0"/>
          <w:marBottom w:val="0"/>
          <w:divBdr>
            <w:top w:val="none" w:sz="0" w:space="0" w:color="auto"/>
            <w:left w:val="none" w:sz="0" w:space="0" w:color="auto"/>
            <w:bottom w:val="none" w:sz="0" w:space="0" w:color="auto"/>
            <w:right w:val="none" w:sz="0" w:space="0" w:color="auto"/>
          </w:divBdr>
        </w:div>
        <w:div w:id="1098990555">
          <w:marLeft w:val="0"/>
          <w:marRight w:val="0"/>
          <w:marTop w:val="0"/>
          <w:marBottom w:val="0"/>
          <w:divBdr>
            <w:top w:val="none" w:sz="0" w:space="0" w:color="auto"/>
            <w:left w:val="none" w:sz="0" w:space="0" w:color="auto"/>
            <w:bottom w:val="none" w:sz="0" w:space="0" w:color="auto"/>
            <w:right w:val="none" w:sz="0" w:space="0" w:color="auto"/>
          </w:divBdr>
        </w:div>
        <w:div w:id="1116870916">
          <w:marLeft w:val="0"/>
          <w:marRight w:val="0"/>
          <w:marTop w:val="0"/>
          <w:marBottom w:val="0"/>
          <w:divBdr>
            <w:top w:val="none" w:sz="0" w:space="0" w:color="auto"/>
            <w:left w:val="none" w:sz="0" w:space="0" w:color="auto"/>
            <w:bottom w:val="none" w:sz="0" w:space="0" w:color="auto"/>
            <w:right w:val="none" w:sz="0" w:space="0" w:color="auto"/>
          </w:divBdr>
        </w:div>
        <w:div w:id="1011955911">
          <w:marLeft w:val="0"/>
          <w:marRight w:val="0"/>
          <w:marTop w:val="0"/>
          <w:marBottom w:val="0"/>
          <w:divBdr>
            <w:top w:val="none" w:sz="0" w:space="0" w:color="auto"/>
            <w:left w:val="none" w:sz="0" w:space="0" w:color="auto"/>
            <w:bottom w:val="none" w:sz="0" w:space="0" w:color="auto"/>
            <w:right w:val="none" w:sz="0" w:space="0" w:color="auto"/>
          </w:divBdr>
        </w:div>
        <w:div w:id="996031385">
          <w:marLeft w:val="0"/>
          <w:marRight w:val="0"/>
          <w:marTop w:val="0"/>
          <w:marBottom w:val="0"/>
          <w:divBdr>
            <w:top w:val="none" w:sz="0" w:space="0" w:color="auto"/>
            <w:left w:val="none" w:sz="0" w:space="0" w:color="auto"/>
            <w:bottom w:val="none" w:sz="0" w:space="0" w:color="auto"/>
            <w:right w:val="none" w:sz="0" w:space="0" w:color="auto"/>
          </w:divBdr>
        </w:div>
        <w:div w:id="1731801388">
          <w:marLeft w:val="0"/>
          <w:marRight w:val="0"/>
          <w:marTop w:val="0"/>
          <w:marBottom w:val="0"/>
          <w:divBdr>
            <w:top w:val="none" w:sz="0" w:space="0" w:color="auto"/>
            <w:left w:val="none" w:sz="0" w:space="0" w:color="auto"/>
            <w:bottom w:val="none" w:sz="0" w:space="0" w:color="auto"/>
            <w:right w:val="none" w:sz="0" w:space="0" w:color="auto"/>
          </w:divBdr>
        </w:div>
        <w:div w:id="2026318823">
          <w:marLeft w:val="0"/>
          <w:marRight w:val="0"/>
          <w:marTop w:val="0"/>
          <w:marBottom w:val="0"/>
          <w:divBdr>
            <w:top w:val="none" w:sz="0" w:space="0" w:color="auto"/>
            <w:left w:val="none" w:sz="0" w:space="0" w:color="auto"/>
            <w:bottom w:val="none" w:sz="0" w:space="0" w:color="auto"/>
            <w:right w:val="none" w:sz="0" w:space="0" w:color="auto"/>
          </w:divBdr>
        </w:div>
        <w:div w:id="1654330416">
          <w:marLeft w:val="0"/>
          <w:marRight w:val="0"/>
          <w:marTop w:val="0"/>
          <w:marBottom w:val="0"/>
          <w:divBdr>
            <w:top w:val="none" w:sz="0" w:space="0" w:color="auto"/>
            <w:left w:val="none" w:sz="0" w:space="0" w:color="auto"/>
            <w:bottom w:val="none" w:sz="0" w:space="0" w:color="auto"/>
            <w:right w:val="none" w:sz="0" w:space="0" w:color="auto"/>
          </w:divBdr>
        </w:div>
      </w:divsChild>
    </w:div>
    <w:div w:id="340160524">
      <w:bodyDiv w:val="1"/>
      <w:marLeft w:val="0"/>
      <w:marRight w:val="0"/>
      <w:marTop w:val="0"/>
      <w:marBottom w:val="0"/>
      <w:divBdr>
        <w:top w:val="none" w:sz="0" w:space="0" w:color="auto"/>
        <w:left w:val="none" w:sz="0" w:space="0" w:color="auto"/>
        <w:bottom w:val="none" w:sz="0" w:space="0" w:color="auto"/>
        <w:right w:val="none" w:sz="0" w:space="0" w:color="auto"/>
      </w:divBdr>
      <w:divsChild>
        <w:div w:id="1499617779">
          <w:marLeft w:val="0"/>
          <w:marRight w:val="0"/>
          <w:marTop w:val="0"/>
          <w:marBottom w:val="0"/>
          <w:divBdr>
            <w:top w:val="none" w:sz="0" w:space="0" w:color="auto"/>
            <w:left w:val="none" w:sz="0" w:space="0" w:color="auto"/>
            <w:bottom w:val="none" w:sz="0" w:space="0" w:color="auto"/>
            <w:right w:val="none" w:sz="0" w:space="0" w:color="auto"/>
          </w:divBdr>
        </w:div>
        <w:div w:id="1424448943">
          <w:marLeft w:val="0"/>
          <w:marRight w:val="0"/>
          <w:marTop w:val="0"/>
          <w:marBottom w:val="0"/>
          <w:divBdr>
            <w:top w:val="none" w:sz="0" w:space="0" w:color="auto"/>
            <w:left w:val="none" w:sz="0" w:space="0" w:color="auto"/>
            <w:bottom w:val="none" w:sz="0" w:space="0" w:color="auto"/>
            <w:right w:val="none" w:sz="0" w:space="0" w:color="auto"/>
          </w:divBdr>
        </w:div>
        <w:div w:id="447747241">
          <w:marLeft w:val="0"/>
          <w:marRight w:val="0"/>
          <w:marTop w:val="0"/>
          <w:marBottom w:val="0"/>
          <w:divBdr>
            <w:top w:val="none" w:sz="0" w:space="0" w:color="auto"/>
            <w:left w:val="none" w:sz="0" w:space="0" w:color="auto"/>
            <w:bottom w:val="none" w:sz="0" w:space="0" w:color="auto"/>
            <w:right w:val="none" w:sz="0" w:space="0" w:color="auto"/>
          </w:divBdr>
        </w:div>
        <w:div w:id="782920303">
          <w:marLeft w:val="0"/>
          <w:marRight w:val="0"/>
          <w:marTop w:val="0"/>
          <w:marBottom w:val="0"/>
          <w:divBdr>
            <w:top w:val="none" w:sz="0" w:space="0" w:color="auto"/>
            <w:left w:val="none" w:sz="0" w:space="0" w:color="auto"/>
            <w:bottom w:val="none" w:sz="0" w:space="0" w:color="auto"/>
            <w:right w:val="none" w:sz="0" w:space="0" w:color="auto"/>
          </w:divBdr>
        </w:div>
        <w:div w:id="1596328541">
          <w:marLeft w:val="0"/>
          <w:marRight w:val="0"/>
          <w:marTop w:val="0"/>
          <w:marBottom w:val="0"/>
          <w:divBdr>
            <w:top w:val="none" w:sz="0" w:space="0" w:color="auto"/>
            <w:left w:val="none" w:sz="0" w:space="0" w:color="auto"/>
            <w:bottom w:val="none" w:sz="0" w:space="0" w:color="auto"/>
            <w:right w:val="none" w:sz="0" w:space="0" w:color="auto"/>
          </w:divBdr>
        </w:div>
      </w:divsChild>
    </w:div>
    <w:div w:id="365957756">
      <w:bodyDiv w:val="1"/>
      <w:marLeft w:val="0"/>
      <w:marRight w:val="0"/>
      <w:marTop w:val="0"/>
      <w:marBottom w:val="0"/>
      <w:divBdr>
        <w:top w:val="none" w:sz="0" w:space="0" w:color="auto"/>
        <w:left w:val="none" w:sz="0" w:space="0" w:color="auto"/>
        <w:bottom w:val="none" w:sz="0" w:space="0" w:color="auto"/>
        <w:right w:val="none" w:sz="0" w:space="0" w:color="auto"/>
      </w:divBdr>
      <w:divsChild>
        <w:div w:id="1472862659">
          <w:marLeft w:val="0"/>
          <w:marRight w:val="0"/>
          <w:marTop w:val="0"/>
          <w:marBottom w:val="0"/>
          <w:divBdr>
            <w:top w:val="none" w:sz="0" w:space="0" w:color="auto"/>
            <w:left w:val="none" w:sz="0" w:space="0" w:color="auto"/>
            <w:bottom w:val="none" w:sz="0" w:space="0" w:color="auto"/>
            <w:right w:val="none" w:sz="0" w:space="0" w:color="auto"/>
          </w:divBdr>
        </w:div>
        <w:div w:id="1714453338">
          <w:marLeft w:val="0"/>
          <w:marRight w:val="0"/>
          <w:marTop w:val="0"/>
          <w:marBottom w:val="0"/>
          <w:divBdr>
            <w:top w:val="none" w:sz="0" w:space="0" w:color="auto"/>
            <w:left w:val="none" w:sz="0" w:space="0" w:color="auto"/>
            <w:bottom w:val="none" w:sz="0" w:space="0" w:color="auto"/>
            <w:right w:val="none" w:sz="0" w:space="0" w:color="auto"/>
          </w:divBdr>
        </w:div>
        <w:div w:id="1764767022">
          <w:marLeft w:val="0"/>
          <w:marRight w:val="0"/>
          <w:marTop w:val="0"/>
          <w:marBottom w:val="0"/>
          <w:divBdr>
            <w:top w:val="none" w:sz="0" w:space="0" w:color="auto"/>
            <w:left w:val="none" w:sz="0" w:space="0" w:color="auto"/>
            <w:bottom w:val="none" w:sz="0" w:space="0" w:color="auto"/>
            <w:right w:val="none" w:sz="0" w:space="0" w:color="auto"/>
          </w:divBdr>
        </w:div>
        <w:div w:id="824123947">
          <w:marLeft w:val="0"/>
          <w:marRight w:val="0"/>
          <w:marTop w:val="0"/>
          <w:marBottom w:val="0"/>
          <w:divBdr>
            <w:top w:val="none" w:sz="0" w:space="0" w:color="auto"/>
            <w:left w:val="none" w:sz="0" w:space="0" w:color="auto"/>
            <w:bottom w:val="none" w:sz="0" w:space="0" w:color="auto"/>
            <w:right w:val="none" w:sz="0" w:space="0" w:color="auto"/>
          </w:divBdr>
        </w:div>
        <w:div w:id="1841457961">
          <w:marLeft w:val="0"/>
          <w:marRight w:val="0"/>
          <w:marTop w:val="0"/>
          <w:marBottom w:val="0"/>
          <w:divBdr>
            <w:top w:val="none" w:sz="0" w:space="0" w:color="auto"/>
            <w:left w:val="none" w:sz="0" w:space="0" w:color="auto"/>
            <w:bottom w:val="none" w:sz="0" w:space="0" w:color="auto"/>
            <w:right w:val="none" w:sz="0" w:space="0" w:color="auto"/>
          </w:divBdr>
        </w:div>
        <w:div w:id="766390312">
          <w:marLeft w:val="0"/>
          <w:marRight w:val="0"/>
          <w:marTop w:val="0"/>
          <w:marBottom w:val="0"/>
          <w:divBdr>
            <w:top w:val="none" w:sz="0" w:space="0" w:color="auto"/>
            <w:left w:val="none" w:sz="0" w:space="0" w:color="auto"/>
            <w:bottom w:val="none" w:sz="0" w:space="0" w:color="auto"/>
            <w:right w:val="none" w:sz="0" w:space="0" w:color="auto"/>
          </w:divBdr>
        </w:div>
      </w:divsChild>
    </w:div>
    <w:div w:id="413286196">
      <w:bodyDiv w:val="1"/>
      <w:marLeft w:val="0"/>
      <w:marRight w:val="0"/>
      <w:marTop w:val="0"/>
      <w:marBottom w:val="0"/>
      <w:divBdr>
        <w:top w:val="none" w:sz="0" w:space="0" w:color="auto"/>
        <w:left w:val="none" w:sz="0" w:space="0" w:color="auto"/>
        <w:bottom w:val="none" w:sz="0" w:space="0" w:color="auto"/>
        <w:right w:val="none" w:sz="0" w:space="0" w:color="auto"/>
      </w:divBdr>
      <w:divsChild>
        <w:div w:id="842403288">
          <w:marLeft w:val="0"/>
          <w:marRight w:val="0"/>
          <w:marTop w:val="0"/>
          <w:marBottom w:val="0"/>
          <w:divBdr>
            <w:top w:val="none" w:sz="0" w:space="0" w:color="auto"/>
            <w:left w:val="none" w:sz="0" w:space="0" w:color="auto"/>
            <w:bottom w:val="none" w:sz="0" w:space="0" w:color="auto"/>
            <w:right w:val="none" w:sz="0" w:space="0" w:color="auto"/>
          </w:divBdr>
        </w:div>
      </w:divsChild>
    </w:div>
    <w:div w:id="437068490">
      <w:bodyDiv w:val="1"/>
      <w:marLeft w:val="0"/>
      <w:marRight w:val="0"/>
      <w:marTop w:val="0"/>
      <w:marBottom w:val="0"/>
      <w:divBdr>
        <w:top w:val="none" w:sz="0" w:space="0" w:color="auto"/>
        <w:left w:val="none" w:sz="0" w:space="0" w:color="auto"/>
        <w:bottom w:val="none" w:sz="0" w:space="0" w:color="auto"/>
        <w:right w:val="none" w:sz="0" w:space="0" w:color="auto"/>
      </w:divBdr>
    </w:div>
    <w:div w:id="495804636">
      <w:bodyDiv w:val="1"/>
      <w:marLeft w:val="0"/>
      <w:marRight w:val="0"/>
      <w:marTop w:val="0"/>
      <w:marBottom w:val="0"/>
      <w:divBdr>
        <w:top w:val="none" w:sz="0" w:space="0" w:color="auto"/>
        <w:left w:val="none" w:sz="0" w:space="0" w:color="auto"/>
        <w:bottom w:val="none" w:sz="0" w:space="0" w:color="auto"/>
        <w:right w:val="none" w:sz="0" w:space="0" w:color="auto"/>
      </w:divBdr>
      <w:divsChild>
        <w:div w:id="773482847">
          <w:marLeft w:val="0"/>
          <w:marRight w:val="0"/>
          <w:marTop w:val="0"/>
          <w:marBottom w:val="0"/>
          <w:divBdr>
            <w:top w:val="none" w:sz="0" w:space="0" w:color="auto"/>
            <w:left w:val="none" w:sz="0" w:space="0" w:color="auto"/>
            <w:bottom w:val="none" w:sz="0" w:space="0" w:color="auto"/>
            <w:right w:val="none" w:sz="0" w:space="0" w:color="auto"/>
          </w:divBdr>
        </w:div>
        <w:div w:id="306399301">
          <w:marLeft w:val="0"/>
          <w:marRight w:val="0"/>
          <w:marTop w:val="0"/>
          <w:marBottom w:val="0"/>
          <w:divBdr>
            <w:top w:val="none" w:sz="0" w:space="0" w:color="auto"/>
            <w:left w:val="none" w:sz="0" w:space="0" w:color="auto"/>
            <w:bottom w:val="none" w:sz="0" w:space="0" w:color="auto"/>
            <w:right w:val="none" w:sz="0" w:space="0" w:color="auto"/>
          </w:divBdr>
        </w:div>
      </w:divsChild>
    </w:div>
    <w:div w:id="579487976">
      <w:bodyDiv w:val="1"/>
      <w:marLeft w:val="0"/>
      <w:marRight w:val="0"/>
      <w:marTop w:val="0"/>
      <w:marBottom w:val="0"/>
      <w:divBdr>
        <w:top w:val="none" w:sz="0" w:space="0" w:color="auto"/>
        <w:left w:val="none" w:sz="0" w:space="0" w:color="auto"/>
        <w:bottom w:val="none" w:sz="0" w:space="0" w:color="auto"/>
        <w:right w:val="none" w:sz="0" w:space="0" w:color="auto"/>
      </w:divBdr>
    </w:div>
    <w:div w:id="637536358">
      <w:bodyDiv w:val="1"/>
      <w:marLeft w:val="0"/>
      <w:marRight w:val="0"/>
      <w:marTop w:val="0"/>
      <w:marBottom w:val="0"/>
      <w:divBdr>
        <w:top w:val="none" w:sz="0" w:space="0" w:color="auto"/>
        <w:left w:val="none" w:sz="0" w:space="0" w:color="auto"/>
        <w:bottom w:val="none" w:sz="0" w:space="0" w:color="auto"/>
        <w:right w:val="none" w:sz="0" w:space="0" w:color="auto"/>
      </w:divBdr>
      <w:divsChild>
        <w:div w:id="428351579">
          <w:marLeft w:val="0"/>
          <w:marRight w:val="0"/>
          <w:marTop w:val="0"/>
          <w:marBottom w:val="0"/>
          <w:divBdr>
            <w:top w:val="none" w:sz="0" w:space="0" w:color="auto"/>
            <w:left w:val="none" w:sz="0" w:space="0" w:color="auto"/>
            <w:bottom w:val="none" w:sz="0" w:space="0" w:color="auto"/>
            <w:right w:val="none" w:sz="0" w:space="0" w:color="auto"/>
          </w:divBdr>
        </w:div>
        <w:div w:id="1157498133">
          <w:marLeft w:val="0"/>
          <w:marRight w:val="0"/>
          <w:marTop w:val="0"/>
          <w:marBottom w:val="0"/>
          <w:divBdr>
            <w:top w:val="none" w:sz="0" w:space="0" w:color="auto"/>
            <w:left w:val="none" w:sz="0" w:space="0" w:color="auto"/>
            <w:bottom w:val="none" w:sz="0" w:space="0" w:color="auto"/>
            <w:right w:val="none" w:sz="0" w:space="0" w:color="auto"/>
          </w:divBdr>
        </w:div>
        <w:div w:id="1881935036">
          <w:marLeft w:val="0"/>
          <w:marRight w:val="0"/>
          <w:marTop w:val="0"/>
          <w:marBottom w:val="0"/>
          <w:divBdr>
            <w:top w:val="none" w:sz="0" w:space="0" w:color="auto"/>
            <w:left w:val="none" w:sz="0" w:space="0" w:color="auto"/>
            <w:bottom w:val="none" w:sz="0" w:space="0" w:color="auto"/>
            <w:right w:val="none" w:sz="0" w:space="0" w:color="auto"/>
          </w:divBdr>
        </w:div>
        <w:div w:id="77950755">
          <w:marLeft w:val="0"/>
          <w:marRight w:val="0"/>
          <w:marTop w:val="0"/>
          <w:marBottom w:val="0"/>
          <w:divBdr>
            <w:top w:val="none" w:sz="0" w:space="0" w:color="auto"/>
            <w:left w:val="none" w:sz="0" w:space="0" w:color="auto"/>
            <w:bottom w:val="none" w:sz="0" w:space="0" w:color="auto"/>
            <w:right w:val="none" w:sz="0" w:space="0" w:color="auto"/>
          </w:divBdr>
        </w:div>
        <w:div w:id="1214272023">
          <w:marLeft w:val="0"/>
          <w:marRight w:val="0"/>
          <w:marTop w:val="0"/>
          <w:marBottom w:val="0"/>
          <w:divBdr>
            <w:top w:val="none" w:sz="0" w:space="0" w:color="auto"/>
            <w:left w:val="none" w:sz="0" w:space="0" w:color="auto"/>
            <w:bottom w:val="none" w:sz="0" w:space="0" w:color="auto"/>
            <w:right w:val="none" w:sz="0" w:space="0" w:color="auto"/>
          </w:divBdr>
        </w:div>
        <w:div w:id="1814713643">
          <w:marLeft w:val="0"/>
          <w:marRight w:val="0"/>
          <w:marTop w:val="0"/>
          <w:marBottom w:val="0"/>
          <w:divBdr>
            <w:top w:val="none" w:sz="0" w:space="0" w:color="auto"/>
            <w:left w:val="none" w:sz="0" w:space="0" w:color="auto"/>
            <w:bottom w:val="none" w:sz="0" w:space="0" w:color="auto"/>
            <w:right w:val="none" w:sz="0" w:space="0" w:color="auto"/>
          </w:divBdr>
        </w:div>
        <w:div w:id="1685859595">
          <w:marLeft w:val="0"/>
          <w:marRight w:val="0"/>
          <w:marTop w:val="0"/>
          <w:marBottom w:val="0"/>
          <w:divBdr>
            <w:top w:val="none" w:sz="0" w:space="0" w:color="auto"/>
            <w:left w:val="none" w:sz="0" w:space="0" w:color="auto"/>
            <w:bottom w:val="none" w:sz="0" w:space="0" w:color="auto"/>
            <w:right w:val="none" w:sz="0" w:space="0" w:color="auto"/>
          </w:divBdr>
        </w:div>
      </w:divsChild>
    </w:div>
    <w:div w:id="655375869">
      <w:bodyDiv w:val="1"/>
      <w:marLeft w:val="0"/>
      <w:marRight w:val="0"/>
      <w:marTop w:val="0"/>
      <w:marBottom w:val="0"/>
      <w:divBdr>
        <w:top w:val="none" w:sz="0" w:space="0" w:color="auto"/>
        <w:left w:val="none" w:sz="0" w:space="0" w:color="auto"/>
        <w:bottom w:val="none" w:sz="0" w:space="0" w:color="auto"/>
        <w:right w:val="none" w:sz="0" w:space="0" w:color="auto"/>
      </w:divBdr>
      <w:divsChild>
        <w:div w:id="2073261845">
          <w:marLeft w:val="0"/>
          <w:marRight w:val="0"/>
          <w:marTop w:val="0"/>
          <w:marBottom w:val="0"/>
          <w:divBdr>
            <w:top w:val="none" w:sz="0" w:space="0" w:color="auto"/>
            <w:left w:val="none" w:sz="0" w:space="0" w:color="auto"/>
            <w:bottom w:val="none" w:sz="0" w:space="0" w:color="auto"/>
            <w:right w:val="none" w:sz="0" w:space="0" w:color="auto"/>
          </w:divBdr>
        </w:div>
        <w:div w:id="59448928">
          <w:marLeft w:val="0"/>
          <w:marRight w:val="0"/>
          <w:marTop w:val="0"/>
          <w:marBottom w:val="0"/>
          <w:divBdr>
            <w:top w:val="none" w:sz="0" w:space="0" w:color="auto"/>
            <w:left w:val="none" w:sz="0" w:space="0" w:color="auto"/>
            <w:bottom w:val="none" w:sz="0" w:space="0" w:color="auto"/>
            <w:right w:val="none" w:sz="0" w:space="0" w:color="auto"/>
          </w:divBdr>
        </w:div>
        <w:div w:id="1748843237">
          <w:marLeft w:val="0"/>
          <w:marRight w:val="0"/>
          <w:marTop w:val="0"/>
          <w:marBottom w:val="0"/>
          <w:divBdr>
            <w:top w:val="none" w:sz="0" w:space="0" w:color="auto"/>
            <w:left w:val="none" w:sz="0" w:space="0" w:color="auto"/>
            <w:bottom w:val="none" w:sz="0" w:space="0" w:color="auto"/>
            <w:right w:val="none" w:sz="0" w:space="0" w:color="auto"/>
          </w:divBdr>
        </w:div>
        <w:div w:id="2062437371">
          <w:marLeft w:val="0"/>
          <w:marRight w:val="0"/>
          <w:marTop w:val="0"/>
          <w:marBottom w:val="0"/>
          <w:divBdr>
            <w:top w:val="none" w:sz="0" w:space="0" w:color="auto"/>
            <w:left w:val="none" w:sz="0" w:space="0" w:color="auto"/>
            <w:bottom w:val="none" w:sz="0" w:space="0" w:color="auto"/>
            <w:right w:val="none" w:sz="0" w:space="0" w:color="auto"/>
          </w:divBdr>
        </w:div>
        <w:div w:id="1853182144">
          <w:marLeft w:val="0"/>
          <w:marRight w:val="0"/>
          <w:marTop w:val="0"/>
          <w:marBottom w:val="0"/>
          <w:divBdr>
            <w:top w:val="none" w:sz="0" w:space="0" w:color="auto"/>
            <w:left w:val="none" w:sz="0" w:space="0" w:color="auto"/>
            <w:bottom w:val="none" w:sz="0" w:space="0" w:color="auto"/>
            <w:right w:val="none" w:sz="0" w:space="0" w:color="auto"/>
          </w:divBdr>
        </w:div>
        <w:div w:id="1854493536">
          <w:marLeft w:val="0"/>
          <w:marRight w:val="0"/>
          <w:marTop w:val="0"/>
          <w:marBottom w:val="0"/>
          <w:divBdr>
            <w:top w:val="none" w:sz="0" w:space="0" w:color="auto"/>
            <w:left w:val="none" w:sz="0" w:space="0" w:color="auto"/>
            <w:bottom w:val="none" w:sz="0" w:space="0" w:color="auto"/>
            <w:right w:val="none" w:sz="0" w:space="0" w:color="auto"/>
          </w:divBdr>
        </w:div>
      </w:divsChild>
    </w:div>
    <w:div w:id="691491553">
      <w:bodyDiv w:val="1"/>
      <w:marLeft w:val="0"/>
      <w:marRight w:val="0"/>
      <w:marTop w:val="0"/>
      <w:marBottom w:val="0"/>
      <w:divBdr>
        <w:top w:val="none" w:sz="0" w:space="0" w:color="auto"/>
        <w:left w:val="none" w:sz="0" w:space="0" w:color="auto"/>
        <w:bottom w:val="none" w:sz="0" w:space="0" w:color="auto"/>
        <w:right w:val="none" w:sz="0" w:space="0" w:color="auto"/>
      </w:divBdr>
    </w:div>
    <w:div w:id="722170561">
      <w:bodyDiv w:val="1"/>
      <w:marLeft w:val="0"/>
      <w:marRight w:val="0"/>
      <w:marTop w:val="0"/>
      <w:marBottom w:val="0"/>
      <w:divBdr>
        <w:top w:val="none" w:sz="0" w:space="0" w:color="auto"/>
        <w:left w:val="none" w:sz="0" w:space="0" w:color="auto"/>
        <w:bottom w:val="none" w:sz="0" w:space="0" w:color="auto"/>
        <w:right w:val="none" w:sz="0" w:space="0" w:color="auto"/>
      </w:divBdr>
      <w:divsChild>
        <w:div w:id="1257861412">
          <w:marLeft w:val="0"/>
          <w:marRight w:val="0"/>
          <w:marTop w:val="0"/>
          <w:marBottom w:val="0"/>
          <w:divBdr>
            <w:top w:val="none" w:sz="0" w:space="0" w:color="auto"/>
            <w:left w:val="none" w:sz="0" w:space="0" w:color="auto"/>
            <w:bottom w:val="none" w:sz="0" w:space="0" w:color="auto"/>
            <w:right w:val="none" w:sz="0" w:space="0" w:color="auto"/>
          </w:divBdr>
        </w:div>
      </w:divsChild>
    </w:div>
    <w:div w:id="746153883">
      <w:bodyDiv w:val="1"/>
      <w:marLeft w:val="0"/>
      <w:marRight w:val="0"/>
      <w:marTop w:val="0"/>
      <w:marBottom w:val="0"/>
      <w:divBdr>
        <w:top w:val="none" w:sz="0" w:space="0" w:color="auto"/>
        <w:left w:val="none" w:sz="0" w:space="0" w:color="auto"/>
        <w:bottom w:val="none" w:sz="0" w:space="0" w:color="auto"/>
        <w:right w:val="none" w:sz="0" w:space="0" w:color="auto"/>
      </w:divBdr>
      <w:divsChild>
        <w:div w:id="910777955">
          <w:marLeft w:val="0"/>
          <w:marRight w:val="0"/>
          <w:marTop w:val="0"/>
          <w:marBottom w:val="0"/>
          <w:divBdr>
            <w:top w:val="none" w:sz="0" w:space="0" w:color="auto"/>
            <w:left w:val="none" w:sz="0" w:space="0" w:color="auto"/>
            <w:bottom w:val="none" w:sz="0" w:space="0" w:color="auto"/>
            <w:right w:val="none" w:sz="0" w:space="0" w:color="auto"/>
          </w:divBdr>
        </w:div>
      </w:divsChild>
    </w:div>
    <w:div w:id="755977630">
      <w:bodyDiv w:val="1"/>
      <w:marLeft w:val="0"/>
      <w:marRight w:val="0"/>
      <w:marTop w:val="0"/>
      <w:marBottom w:val="0"/>
      <w:divBdr>
        <w:top w:val="none" w:sz="0" w:space="0" w:color="auto"/>
        <w:left w:val="none" w:sz="0" w:space="0" w:color="auto"/>
        <w:bottom w:val="none" w:sz="0" w:space="0" w:color="auto"/>
        <w:right w:val="none" w:sz="0" w:space="0" w:color="auto"/>
      </w:divBdr>
      <w:divsChild>
        <w:div w:id="1199004403">
          <w:marLeft w:val="0"/>
          <w:marRight w:val="0"/>
          <w:marTop w:val="0"/>
          <w:marBottom w:val="0"/>
          <w:divBdr>
            <w:top w:val="none" w:sz="0" w:space="0" w:color="auto"/>
            <w:left w:val="none" w:sz="0" w:space="0" w:color="auto"/>
            <w:bottom w:val="none" w:sz="0" w:space="0" w:color="auto"/>
            <w:right w:val="none" w:sz="0" w:space="0" w:color="auto"/>
          </w:divBdr>
        </w:div>
      </w:divsChild>
    </w:div>
    <w:div w:id="760298057">
      <w:bodyDiv w:val="1"/>
      <w:marLeft w:val="0"/>
      <w:marRight w:val="0"/>
      <w:marTop w:val="0"/>
      <w:marBottom w:val="0"/>
      <w:divBdr>
        <w:top w:val="none" w:sz="0" w:space="0" w:color="auto"/>
        <w:left w:val="none" w:sz="0" w:space="0" w:color="auto"/>
        <w:bottom w:val="none" w:sz="0" w:space="0" w:color="auto"/>
        <w:right w:val="none" w:sz="0" w:space="0" w:color="auto"/>
      </w:divBdr>
      <w:divsChild>
        <w:div w:id="390271892">
          <w:marLeft w:val="0"/>
          <w:marRight w:val="0"/>
          <w:marTop w:val="0"/>
          <w:marBottom w:val="0"/>
          <w:divBdr>
            <w:top w:val="none" w:sz="0" w:space="0" w:color="auto"/>
            <w:left w:val="none" w:sz="0" w:space="0" w:color="auto"/>
            <w:bottom w:val="none" w:sz="0" w:space="0" w:color="auto"/>
            <w:right w:val="none" w:sz="0" w:space="0" w:color="auto"/>
          </w:divBdr>
        </w:div>
        <w:div w:id="397675415">
          <w:marLeft w:val="0"/>
          <w:marRight w:val="0"/>
          <w:marTop w:val="0"/>
          <w:marBottom w:val="0"/>
          <w:divBdr>
            <w:top w:val="none" w:sz="0" w:space="0" w:color="auto"/>
            <w:left w:val="none" w:sz="0" w:space="0" w:color="auto"/>
            <w:bottom w:val="none" w:sz="0" w:space="0" w:color="auto"/>
            <w:right w:val="none" w:sz="0" w:space="0" w:color="auto"/>
          </w:divBdr>
        </w:div>
        <w:div w:id="451286059">
          <w:marLeft w:val="0"/>
          <w:marRight w:val="0"/>
          <w:marTop w:val="0"/>
          <w:marBottom w:val="0"/>
          <w:divBdr>
            <w:top w:val="none" w:sz="0" w:space="0" w:color="auto"/>
            <w:left w:val="none" w:sz="0" w:space="0" w:color="auto"/>
            <w:bottom w:val="none" w:sz="0" w:space="0" w:color="auto"/>
            <w:right w:val="none" w:sz="0" w:space="0" w:color="auto"/>
          </w:divBdr>
        </w:div>
        <w:div w:id="1172143732">
          <w:marLeft w:val="0"/>
          <w:marRight w:val="0"/>
          <w:marTop w:val="0"/>
          <w:marBottom w:val="0"/>
          <w:divBdr>
            <w:top w:val="none" w:sz="0" w:space="0" w:color="auto"/>
            <w:left w:val="none" w:sz="0" w:space="0" w:color="auto"/>
            <w:bottom w:val="none" w:sz="0" w:space="0" w:color="auto"/>
            <w:right w:val="none" w:sz="0" w:space="0" w:color="auto"/>
          </w:divBdr>
        </w:div>
        <w:div w:id="1672369920">
          <w:marLeft w:val="0"/>
          <w:marRight w:val="0"/>
          <w:marTop w:val="0"/>
          <w:marBottom w:val="0"/>
          <w:divBdr>
            <w:top w:val="none" w:sz="0" w:space="0" w:color="auto"/>
            <w:left w:val="none" w:sz="0" w:space="0" w:color="auto"/>
            <w:bottom w:val="none" w:sz="0" w:space="0" w:color="auto"/>
            <w:right w:val="none" w:sz="0" w:space="0" w:color="auto"/>
          </w:divBdr>
        </w:div>
      </w:divsChild>
    </w:div>
    <w:div w:id="769742187">
      <w:bodyDiv w:val="1"/>
      <w:marLeft w:val="0"/>
      <w:marRight w:val="0"/>
      <w:marTop w:val="0"/>
      <w:marBottom w:val="0"/>
      <w:divBdr>
        <w:top w:val="none" w:sz="0" w:space="0" w:color="auto"/>
        <w:left w:val="none" w:sz="0" w:space="0" w:color="auto"/>
        <w:bottom w:val="none" w:sz="0" w:space="0" w:color="auto"/>
        <w:right w:val="none" w:sz="0" w:space="0" w:color="auto"/>
      </w:divBdr>
    </w:div>
    <w:div w:id="780299271">
      <w:bodyDiv w:val="1"/>
      <w:marLeft w:val="0"/>
      <w:marRight w:val="0"/>
      <w:marTop w:val="0"/>
      <w:marBottom w:val="0"/>
      <w:divBdr>
        <w:top w:val="none" w:sz="0" w:space="0" w:color="auto"/>
        <w:left w:val="none" w:sz="0" w:space="0" w:color="auto"/>
        <w:bottom w:val="none" w:sz="0" w:space="0" w:color="auto"/>
        <w:right w:val="none" w:sz="0" w:space="0" w:color="auto"/>
      </w:divBdr>
      <w:divsChild>
        <w:div w:id="1844271732">
          <w:marLeft w:val="0"/>
          <w:marRight w:val="0"/>
          <w:marTop w:val="0"/>
          <w:marBottom w:val="0"/>
          <w:divBdr>
            <w:top w:val="none" w:sz="0" w:space="0" w:color="auto"/>
            <w:left w:val="none" w:sz="0" w:space="0" w:color="auto"/>
            <w:bottom w:val="none" w:sz="0" w:space="0" w:color="auto"/>
            <w:right w:val="none" w:sz="0" w:space="0" w:color="auto"/>
          </w:divBdr>
        </w:div>
      </w:divsChild>
    </w:div>
    <w:div w:id="805126483">
      <w:bodyDiv w:val="1"/>
      <w:marLeft w:val="0"/>
      <w:marRight w:val="0"/>
      <w:marTop w:val="0"/>
      <w:marBottom w:val="0"/>
      <w:divBdr>
        <w:top w:val="none" w:sz="0" w:space="0" w:color="auto"/>
        <w:left w:val="none" w:sz="0" w:space="0" w:color="auto"/>
        <w:bottom w:val="none" w:sz="0" w:space="0" w:color="auto"/>
        <w:right w:val="none" w:sz="0" w:space="0" w:color="auto"/>
      </w:divBdr>
      <w:divsChild>
        <w:div w:id="210844631">
          <w:marLeft w:val="0"/>
          <w:marRight w:val="0"/>
          <w:marTop w:val="0"/>
          <w:marBottom w:val="0"/>
          <w:divBdr>
            <w:top w:val="none" w:sz="0" w:space="0" w:color="auto"/>
            <w:left w:val="none" w:sz="0" w:space="0" w:color="auto"/>
            <w:bottom w:val="none" w:sz="0" w:space="0" w:color="auto"/>
            <w:right w:val="none" w:sz="0" w:space="0" w:color="auto"/>
          </w:divBdr>
        </w:div>
      </w:divsChild>
    </w:div>
    <w:div w:id="840004280">
      <w:bodyDiv w:val="1"/>
      <w:marLeft w:val="0"/>
      <w:marRight w:val="0"/>
      <w:marTop w:val="0"/>
      <w:marBottom w:val="0"/>
      <w:divBdr>
        <w:top w:val="none" w:sz="0" w:space="0" w:color="auto"/>
        <w:left w:val="none" w:sz="0" w:space="0" w:color="auto"/>
        <w:bottom w:val="none" w:sz="0" w:space="0" w:color="auto"/>
        <w:right w:val="none" w:sz="0" w:space="0" w:color="auto"/>
      </w:divBdr>
      <w:divsChild>
        <w:div w:id="626201883">
          <w:marLeft w:val="0"/>
          <w:marRight w:val="0"/>
          <w:marTop w:val="0"/>
          <w:marBottom w:val="0"/>
          <w:divBdr>
            <w:top w:val="none" w:sz="0" w:space="0" w:color="auto"/>
            <w:left w:val="none" w:sz="0" w:space="0" w:color="auto"/>
            <w:bottom w:val="none" w:sz="0" w:space="0" w:color="auto"/>
            <w:right w:val="none" w:sz="0" w:space="0" w:color="auto"/>
          </w:divBdr>
        </w:div>
      </w:divsChild>
    </w:div>
    <w:div w:id="840895888">
      <w:bodyDiv w:val="1"/>
      <w:marLeft w:val="0"/>
      <w:marRight w:val="0"/>
      <w:marTop w:val="0"/>
      <w:marBottom w:val="0"/>
      <w:divBdr>
        <w:top w:val="none" w:sz="0" w:space="0" w:color="auto"/>
        <w:left w:val="none" w:sz="0" w:space="0" w:color="auto"/>
        <w:bottom w:val="none" w:sz="0" w:space="0" w:color="auto"/>
        <w:right w:val="none" w:sz="0" w:space="0" w:color="auto"/>
      </w:divBdr>
      <w:divsChild>
        <w:div w:id="297885255">
          <w:marLeft w:val="0"/>
          <w:marRight w:val="0"/>
          <w:marTop w:val="0"/>
          <w:marBottom w:val="0"/>
          <w:divBdr>
            <w:top w:val="none" w:sz="0" w:space="0" w:color="auto"/>
            <w:left w:val="none" w:sz="0" w:space="0" w:color="auto"/>
            <w:bottom w:val="none" w:sz="0" w:space="0" w:color="auto"/>
            <w:right w:val="none" w:sz="0" w:space="0" w:color="auto"/>
          </w:divBdr>
        </w:div>
        <w:div w:id="1803767732">
          <w:marLeft w:val="0"/>
          <w:marRight w:val="0"/>
          <w:marTop w:val="0"/>
          <w:marBottom w:val="0"/>
          <w:divBdr>
            <w:top w:val="none" w:sz="0" w:space="0" w:color="auto"/>
            <w:left w:val="none" w:sz="0" w:space="0" w:color="auto"/>
            <w:bottom w:val="none" w:sz="0" w:space="0" w:color="auto"/>
            <w:right w:val="none" w:sz="0" w:space="0" w:color="auto"/>
          </w:divBdr>
        </w:div>
        <w:div w:id="1598517462">
          <w:marLeft w:val="0"/>
          <w:marRight w:val="0"/>
          <w:marTop w:val="0"/>
          <w:marBottom w:val="0"/>
          <w:divBdr>
            <w:top w:val="none" w:sz="0" w:space="0" w:color="auto"/>
            <w:left w:val="none" w:sz="0" w:space="0" w:color="auto"/>
            <w:bottom w:val="none" w:sz="0" w:space="0" w:color="auto"/>
            <w:right w:val="none" w:sz="0" w:space="0" w:color="auto"/>
          </w:divBdr>
        </w:div>
        <w:div w:id="2023434084">
          <w:marLeft w:val="0"/>
          <w:marRight w:val="0"/>
          <w:marTop w:val="0"/>
          <w:marBottom w:val="0"/>
          <w:divBdr>
            <w:top w:val="none" w:sz="0" w:space="0" w:color="auto"/>
            <w:left w:val="none" w:sz="0" w:space="0" w:color="auto"/>
            <w:bottom w:val="none" w:sz="0" w:space="0" w:color="auto"/>
            <w:right w:val="none" w:sz="0" w:space="0" w:color="auto"/>
          </w:divBdr>
        </w:div>
        <w:div w:id="1059325080">
          <w:marLeft w:val="0"/>
          <w:marRight w:val="0"/>
          <w:marTop w:val="0"/>
          <w:marBottom w:val="0"/>
          <w:divBdr>
            <w:top w:val="none" w:sz="0" w:space="0" w:color="auto"/>
            <w:left w:val="none" w:sz="0" w:space="0" w:color="auto"/>
            <w:bottom w:val="none" w:sz="0" w:space="0" w:color="auto"/>
            <w:right w:val="none" w:sz="0" w:space="0" w:color="auto"/>
          </w:divBdr>
        </w:div>
        <w:div w:id="1419903264">
          <w:marLeft w:val="0"/>
          <w:marRight w:val="0"/>
          <w:marTop w:val="0"/>
          <w:marBottom w:val="0"/>
          <w:divBdr>
            <w:top w:val="none" w:sz="0" w:space="0" w:color="auto"/>
            <w:left w:val="none" w:sz="0" w:space="0" w:color="auto"/>
            <w:bottom w:val="none" w:sz="0" w:space="0" w:color="auto"/>
            <w:right w:val="none" w:sz="0" w:space="0" w:color="auto"/>
          </w:divBdr>
        </w:div>
        <w:div w:id="704329579">
          <w:marLeft w:val="0"/>
          <w:marRight w:val="0"/>
          <w:marTop w:val="0"/>
          <w:marBottom w:val="0"/>
          <w:divBdr>
            <w:top w:val="none" w:sz="0" w:space="0" w:color="auto"/>
            <w:left w:val="none" w:sz="0" w:space="0" w:color="auto"/>
            <w:bottom w:val="none" w:sz="0" w:space="0" w:color="auto"/>
            <w:right w:val="none" w:sz="0" w:space="0" w:color="auto"/>
          </w:divBdr>
        </w:div>
        <w:div w:id="217665756">
          <w:marLeft w:val="0"/>
          <w:marRight w:val="0"/>
          <w:marTop w:val="0"/>
          <w:marBottom w:val="0"/>
          <w:divBdr>
            <w:top w:val="none" w:sz="0" w:space="0" w:color="auto"/>
            <w:left w:val="none" w:sz="0" w:space="0" w:color="auto"/>
            <w:bottom w:val="none" w:sz="0" w:space="0" w:color="auto"/>
            <w:right w:val="none" w:sz="0" w:space="0" w:color="auto"/>
          </w:divBdr>
        </w:div>
        <w:div w:id="395782356">
          <w:marLeft w:val="0"/>
          <w:marRight w:val="0"/>
          <w:marTop w:val="0"/>
          <w:marBottom w:val="0"/>
          <w:divBdr>
            <w:top w:val="none" w:sz="0" w:space="0" w:color="auto"/>
            <w:left w:val="none" w:sz="0" w:space="0" w:color="auto"/>
            <w:bottom w:val="none" w:sz="0" w:space="0" w:color="auto"/>
            <w:right w:val="none" w:sz="0" w:space="0" w:color="auto"/>
          </w:divBdr>
        </w:div>
        <w:div w:id="1653827418">
          <w:marLeft w:val="0"/>
          <w:marRight w:val="0"/>
          <w:marTop w:val="0"/>
          <w:marBottom w:val="0"/>
          <w:divBdr>
            <w:top w:val="none" w:sz="0" w:space="0" w:color="auto"/>
            <w:left w:val="none" w:sz="0" w:space="0" w:color="auto"/>
            <w:bottom w:val="none" w:sz="0" w:space="0" w:color="auto"/>
            <w:right w:val="none" w:sz="0" w:space="0" w:color="auto"/>
          </w:divBdr>
        </w:div>
        <w:div w:id="485124237">
          <w:marLeft w:val="0"/>
          <w:marRight w:val="0"/>
          <w:marTop w:val="0"/>
          <w:marBottom w:val="0"/>
          <w:divBdr>
            <w:top w:val="none" w:sz="0" w:space="0" w:color="auto"/>
            <w:left w:val="none" w:sz="0" w:space="0" w:color="auto"/>
            <w:bottom w:val="none" w:sz="0" w:space="0" w:color="auto"/>
            <w:right w:val="none" w:sz="0" w:space="0" w:color="auto"/>
          </w:divBdr>
        </w:div>
        <w:div w:id="347291488">
          <w:marLeft w:val="0"/>
          <w:marRight w:val="0"/>
          <w:marTop w:val="0"/>
          <w:marBottom w:val="0"/>
          <w:divBdr>
            <w:top w:val="none" w:sz="0" w:space="0" w:color="auto"/>
            <w:left w:val="none" w:sz="0" w:space="0" w:color="auto"/>
            <w:bottom w:val="none" w:sz="0" w:space="0" w:color="auto"/>
            <w:right w:val="none" w:sz="0" w:space="0" w:color="auto"/>
          </w:divBdr>
        </w:div>
        <w:div w:id="1596740584">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441535296">
          <w:marLeft w:val="0"/>
          <w:marRight w:val="0"/>
          <w:marTop w:val="0"/>
          <w:marBottom w:val="0"/>
          <w:divBdr>
            <w:top w:val="none" w:sz="0" w:space="0" w:color="auto"/>
            <w:left w:val="none" w:sz="0" w:space="0" w:color="auto"/>
            <w:bottom w:val="none" w:sz="0" w:space="0" w:color="auto"/>
            <w:right w:val="none" w:sz="0" w:space="0" w:color="auto"/>
          </w:divBdr>
        </w:div>
        <w:div w:id="1874225016">
          <w:marLeft w:val="0"/>
          <w:marRight w:val="0"/>
          <w:marTop w:val="0"/>
          <w:marBottom w:val="0"/>
          <w:divBdr>
            <w:top w:val="none" w:sz="0" w:space="0" w:color="auto"/>
            <w:left w:val="none" w:sz="0" w:space="0" w:color="auto"/>
            <w:bottom w:val="none" w:sz="0" w:space="0" w:color="auto"/>
            <w:right w:val="none" w:sz="0" w:space="0" w:color="auto"/>
          </w:divBdr>
        </w:div>
        <w:div w:id="371807167">
          <w:marLeft w:val="0"/>
          <w:marRight w:val="0"/>
          <w:marTop w:val="0"/>
          <w:marBottom w:val="0"/>
          <w:divBdr>
            <w:top w:val="none" w:sz="0" w:space="0" w:color="auto"/>
            <w:left w:val="none" w:sz="0" w:space="0" w:color="auto"/>
            <w:bottom w:val="none" w:sz="0" w:space="0" w:color="auto"/>
            <w:right w:val="none" w:sz="0" w:space="0" w:color="auto"/>
          </w:divBdr>
        </w:div>
        <w:div w:id="1766344646">
          <w:marLeft w:val="0"/>
          <w:marRight w:val="0"/>
          <w:marTop w:val="0"/>
          <w:marBottom w:val="0"/>
          <w:divBdr>
            <w:top w:val="none" w:sz="0" w:space="0" w:color="auto"/>
            <w:left w:val="none" w:sz="0" w:space="0" w:color="auto"/>
            <w:bottom w:val="none" w:sz="0" w:space="0" w:color="auto"/>
            <w:right w:val="none" w:sz="0" w:space="0" w:color="auto"/>
          </w:divBdr>
        </w:div>
        <w:div w:id="491065574">
          <w:marLeft w:val="0"/>
          <w:marRight w:val="0"/>
          <w:marTop w:val="0"/>
          <w:marBottom w:val="0"/>
          <w:divBdr>
            <w:top w:val="none" w:sz="0" w:space="0" w:color="auto"/>
            <w:left w:val="none" w:sz="0" w:space="0" w:color="auto"/>
            <w:bottom w:val="none" w:sz="0" w:space="0" w:color="auto"/>
            <w:right w:val="none" w:sz="0" w:space="0" w:color="auto"/>
          </w:divBdr>
        </w:div>
        <w:div w:id="1336686742">
          <w:marLeft w:val="0"/>
          <w:marRight w:val="0"/>
          <w:marTop w:val="0"/>
          <w:marBottom w:val="0"/>
          <w:divBdr>
            <w:top w:val="none" w:sz="0" w:space="0" w:color="auto"/>
            <w:left w:val="none" w:sz="0" w:space="0" w:color="auto"/>
            <w:bottom w:val="none" w:sz="0" w:space="0" w:color="auto"/>
            <w:right w:val="none" w:sz="0" w:space="0" w:color="auto"/>
          </w:divBdr>
        </w:div>
        <w:div w:id="1606231640">
          <w:marLeft w:val="0"/>
          <w:marRight w:val="0"/>
          <w:marTop w:val="0"/>
          <w:marBottom w:val="0"/>
          <w:divBdr>
            <w:top w:val="none" w:sz="0" w:space="0" w:color="auto"/>
            <w:left w:val="none" w:sz="0" w:space="0" w:color="auto"/>
            <w:bottom w:val="none" w:sz="0" w:space="0" w:color="auto"/>
            <w:right w:val="none" w:sz="0" w:space="0" w:color="auto"/>
          </w:divBdr>
        </w:div>
        <w:div w:id="12583901">
          <w:marLeft w:val="0"/>
          <w:marRight w:val="0"/>
          <w:marTop w:val="0"/>
          <w:marBottom w:val="0"/>
          <w:divBdr>
            <w:top w:val="none" w:sz="0" w:space="0" w:color="auto"/>
            <w:left w:val="none" w:sz="0" w:space="0" w:color="auto"/>
            <w:bottom w:val="none" w:sz="0" w:space="0" w:color="auto"/>
            <w:right w:val="none" w:sz="0" w:space="0" w:color="auto"/>
          </w:divBdr>
        </w:div>
        <w:div w:id="1279723120">
          <w:marLeft w:val="0"/>
          <w:marRight w:val="0"/>
          <w:marTop w:val="0"/>
          <w:marBottom w:val="0"/>
          <w:divBdr>
            <w:top w:val="none" w:sz="0" w:space="0" w:color="auto"/>
            <w:left w:val="none" w:sz="0" w:space="0" w:color="auto"/>
            <w:bottom w:val="none" w:sz="0" w:space="0" w:color="auto"/>
            <w:right w:val="none" w:sz="0" w:space="0" w:color="auto"/>
          </w:divBdr>
        </w:div>
        <w:div w:id="301228649">
          <w:marLeft w:val="0"/>
          <w:marRight w:val="0"/>
          <w:marTop w:val="0"/>
          <w:marBottom w:val="0"/>
          <w:divBdr>
            <w:top w:val="none" w:sz="0" w:space="0" w:color="auto"/>
            <w:left w:val="none" w:sz="0" w:space="0" w:color="auto"/>
            <w:bottom w:val="none" w:sz="0" w:space="0" w:color="auto"/>
            <w:right w:val="none" w:sz="0" w:space="0" w:color="auto"/>
          </w:divBdr>
        </w:div>
        <w:div w:id="2057272264">
          <w:marLeft w:val="0"/>
          <w:marRight w:val="0"/>
          <w:marTop w:val="0"/>
          <w:marBottom w:val="0"/>
          <w:divBdr>
            <w:top w:val="none" w:sz="0" w:space="0" w:color="auto"/>
            <w:left w:val="none" w:sz="0" w:space="0" w:color="auto"/>
            <w:bottom w:val="none" w:sz="0" w:space="0" w:color="auto"/>
            <w:right w:val="none" w:sz="0" w:space="0" w:color="auto"/>
          </w:divBdr>
        </w:div>
        <w:div w:id="1687436541">
          <w:marLeft w:val="0"/>
          <w:marRight w:val="0"/>
          <w:marTop w:val="0"/>
          <w:marBottom w:val="0"/>
          <w:divBdr>
            <w:top w:val="none" w:sz="0" w:space="0" w:color="auto"/>
            <w:left w:val="none" w:sz="0" w:space="0" w:color="auto"/>
            <w:bottom w:val="none" w:sz="0" w:space="0" w:color="auto"/>
            <w:right w:val="none" w:sz="0" w:space="0" w:color="auto"/>
          </w:divBdr>
        </w:div>
        <w:div w:id="1075322107">
          <w:marLeft w:val="0"/>
          <w:marRight w:val="0"/>
          <w:marTop w:val="0"/>
          <w:marBottom w:val="0"/>
          <w:divBdr>
            <w:top w:val="none" w:sz="0" w:space="0" w:color="auto"/>
            <w:left w:val="none" w:sz="0" w:space="0" w:color="auto"/>
            <w:bottom w:val="none" w:sz="0" w:space="0" w:color="auto"/>
            <w:right w:val="none" w:sz="0" w:space="0" w:color="auto"/>
          </w:divBdr>
        </w:div>
        <w:div w:id="1187064921">
          <w:marLeft w:val="0"/>
          <w:marRight w:val="0"/>
          <w:marTop w:val="0"/>
          <w:marBottom w:val="0"/>
          <w:divBdr>
            <w:top w:val="none" w:sz="0" w:space="0" w:color="auto"/>
            <w:left w:val="none" w:sz="0" w:space="0" w:color="auto"/>
            <w:bottom w:val="none" w:sz="0" w:space="0" w:color="auto"/>
            <w:right w:val="none" w:sz="0" w:space="0" w:color="auto"/>
          </w:divBdr>
        </w:div>
        <w:div w:id="1572353895">
          <w:marLeft w:val="0"/>
          <w:marRight w:val="0"/>
          <w:marTop w:val="0"/>
          <w:marBottom w:val="0"/>
          <w:divBdr>
            <w:top w:val="none" w:sz="0" w:space="0" w:color="auto"/>
            <w:left w:val="none" w:sz="0" w:space="0" w:color="auto"/>
            <w:bottom w:val="none" w:sz="0" w:space="0" w:color="auto"/>
            <w:right w:val="none" w:sz="0" w:space="0" w:color="auto"/>
          </w:divBdr>
        </w:div>
        <w:div w:id="141196863">
          <w:marLeft w:val="0"/>
          <w:marRight w:val="0"/>
          <w:marTop w:val="0"/>
          <w:marBottom w:val="0"/>
          <w:divBdr>
            <w:top w:val="none" w:sz="0" w:space="0" w:color="auto"/>
            <w:left w:val="none" w:sz="0" w:space="0" w:color="auto"/>
            <w:bottom w:val="none" w:sz="0" w:space="0" w:color="auto"/>
            <w:right w:val="none" w:sz="0" w:space="0" w:color="auto"/>
          </w:divBdr>
        </w:div>
        <w:div w:id="2003122059">
          <w:marLeft w:val="0"/>
          <w:marRight w:val="0"/>
          <w:marTop w:val="0"/>
          <w:marBottom w:val="0"/>
          <w:divBdr>
            <w:top w:val="none" w:sz="0" w:space="0" w:color="auto"/>
            <w:left w:val="none" w:sz="0" w:space="0" w:color="auto"/>
            <w:bottom w:val="none" w:sz="0" w:space="0" w:color="auto"/>
            <w:right w:val="none" w:sz="0" w:space="0" w:color="auto"/>
          </w:divBdr>
        </w:div>
        <w:div w:id="1687056978">
          <w:marLeft w:val="0"/>
          <w:marRight w:val="0"/>
          <w:marTop w:val="0"/>
          <w:marBottom w:val="0"/>
          <w:divBdr>
            <w:top w:val="none" w:sz="0" w:space="0" w:color="auto"/>
            <w:left w:val="none" w:sz="0" w:space="0" w:color="auto"/>
            <w:bottom w:val="none" w:sz="0" w:space="0" w:color="auto"/>
            <w:right w:val="none" w:sz="0" w:space="0" w:color="auto"/>
          </w:divBdr>
        </w:div>
        <w:div w:id="1711614607">
          <w:marLeft w:val="0"/>
          <w:marRight w:val="0"/>
          <w:marTop w:val="0"/>
          <w:marBottom w:val="0"/>
          <w:divBdr>
            <w:top w:val="none" w:sz="0" w:space="0" w:color="auto"/>
            <w:left w:val="none" w:sz="0" w:space="0" w:color="auto"/>
            <w:bottom w:val="none" w:sz="0" w:space="0" w:color="auto"/>
            <w:right w:val="none" w:sz="0" w:space="0" w:color="auto"/>
          </w:divBdr>
        </w:div>
      </w:divsChild>
    </w:div>
    <w:div w:id="893001180">
      <w:bodyDiv w:val="1"/>
      <w:marLeft w:val="0"/>
      <w:marRight w:val="0"/>
      <w:marTop w:val="0"/>
      <w:marBottom w:val="0"/>
      <w:divBdr>
        <w:top w:val="none" w:sz="0" w:space="0" w:color="auto"/>
        <w:left w:val="none" w:sz="0" w:space="0" w:color="auto"/>
        <w:bottom w:val="none" w:sz="0" w:space="0" w:color="auto"/>
        <w:right w:val="none" w:sz="0" w:space="0" w:color="auto"/>
      </w:divBdr>
      <w:divsChild>
        <w:div w:id="150365609">
          <w:marLeft w:val="0"/>
          <w:marRight w:val="0"/>
          <w:marTop w:val="0"/>
          <w:marBottom w:val="0"/>
          <w:divBdr>
            <w:top w:val="none" w:sz="0" w:space="0" w:color="auto"/>
            <w:left w:val="none" w:sz="0" w:space="0" w:color="auto"/>
            <w:bottom w:val="none" w:sz="0" w:space="0" w:color="auto"/>
            <w:right w:val="none" w:sz="0" w:space="0" w:color="auto"/>
          </w:divBdr>
        </w:div>
        <w:div w:id="408499148">
          <w:marLeft w:val="0"/>
          <w:marRight w:val="0"/>
          <w:marTop w:val="0"/>
          <w:marBottom w:val="0"/>
          <w:divBdr>
            <w:top w:val="none" w:sz="0" w:space="0" w:color="auto"/>
            <w:left w:val="none" w:sz="0" w:space="0" w:color="auto"/>
            <w:bottom w:val="none" w:sz="0" w:space="0" w:color="auto"/>
            <w:right w:val="none" w:sz="0" w:space="0" w:color="auto"/>
          </w:divBdr>
        </w:div>
      </w:divsChild>
    </w:div>
    <w:div w:id="1064835208">
      <w:bodyDiv w:val="1"/>
      <w:marLeft w:val="0"/>
      <w:marRight w:val="0"/>
      <w:marTop w:val="0"/>
      <w:marBottom w:val="0"/>
      <w:divBdr>
        <w:top w:val="none" w:sz="0" w:space="0" w:color="auto"/>
        <w:left w:val="none" w:sz="0" w:space="0" w:color="auto"/>
        <w:bottom w:val="none" w:sz="0" w:space="0" w:color="auto"/>
        <w:right w:val="none" w:sz="0" w:space="0" w:color="auto"/>
      </w:divBdr>
      <w:divsChild>
        <w:div w:id="1228103273">
          <w:marLeft w:val="0"/>
          <w:marRight w:val="0"/>
          <w:marTop w:val="0"/>
          <w:marBottom w:val="0"/>
          <w:divBdr>
            <w:top w:val="none" w:sz="0" w:space="0" w:color="auto"/>
            <w:left w:val="none" w:sz="0" w:space="0" w:color="auto"/>
            <w:bottom w:val="none" w:sz="0" w:space="0" w:color="auto"/>
            <w:right w:val="none" w:sz="0" w:space="0" w:color="auto"/>
          </w:divBdr>
        </w:div>
        <w:div w:id="218636195">
          <w:marLeft w:val="0"/>
          <w:marRight w:val="0"/>
          <w:marTop w:val="0"/>
          <w:marBottom w:val="0"/>
          <w:divBdr>
            <w:top w:val="none" w:sz="0" w:space="0" w:color="auto"/>
            <w:left w:val="none" w:sz="0" w:space="0" w:color="auto"/>
            <w:bottom w:val="none" w:sz="0" w:space="0" w:color="auto"/>
            <w:right w:val="none" w:sz="0" w:space="0" w:color="auto"/>
          </w:divBdr>
        </w:div>
      </w:divsChild>
    </w:div>
    <w:div w:id="1111783649">
      <w:bodyDiv w:val="1"/>
      <w:marLeft w:val="0"/>
      <w:marRight w:val="0"/>
      <w:marTop w:val="0"/>
      <w:marBottom w:val="0"/>
      <w:divBdr>
        <w:top w:val="none" w:sz="0" w:space="0" w:color="auto"/>
        <w:left w:val="none" w:sz="0" w:space="0" w:color="auto"/>
        <w:bottom w:val="none" w:sz="0" w:space="0" w:color="auto"/>
        <w:right w:val="none" w:sz="0" w:space="0" w:color="auto"/>
      </w:divBdr>
      <w:divsChild>
        <w:div w:id="1668970805">
          <w:marLeft w:val="0"/>
          <w:marRight w:val="0"/>
          <w:marTop w:val="0"/>
          <w:marBottom w:val="0"/>
          <w:divBdr>
            <w:top w:val="none" w:sz="0" w:space="0" w:color="auto"/>
            <w:left w:val="none" w:sz="0" w:space="0" w:color="auto"/>
            <w:bottom w:val="none" w:sz="0" w:space="0" w:color="auto"/>
            <w:right w:val="none" w:sz="0" w:space="0" w:color="auto"/>
          </w:divBdr>
        </w:div>
        <w:div w:id="254022670">
          <w:marLeft w:val="0"/>
          <w:marRight w:val="0"/>
          <w:marTop w:val="0"/>
          <w:marBottom w:val="0"/>
          <w:divBdr>
            <w:top w:val="none" w:sz="0" w:space="0" w:color="auto"/>
            <w:left w:val="none" w:sz="0" w:space="0" w:color="auto"/>
            <w:bottom w:val="none" w:sz="0" w:space="0" w:color="auto"/>
            <w:right w:val="none" w:sz="0" w:space="0" w:color="auto"/>
          </w:divBdr>
        </w:div>
        <w:div w:id="1794400058">
          <w:marLeft w:val="0"/>
          <w:marRight w:val="0"/>
          <w:marTop w:val="0"/>
          <w:marBottom w:val="0"/>
          <w:divBdr>
            <w:top w:val="none" w:sz="0" w:space="0" w:color="auto"/>
            <w:left w:val="none" w:sz="0" w:space="0" w:color="auto"/>
            <w:bottom w:val="none" w:sz="0" w:space="0" w:color="auto"/>
            <w:right w:val="none" w:sz="0" w:space="0" w:color="auto"/>
          </w:divBdr>
        </w:div>
        <w:div w:id="1805807674">
          <w:marLeft w:val="0"/>
          <w:marRight w:val="0"/>
          <w:marTop w:val="0"/>
          <w:marBottom w:val="0"/>
          <w:divBdr>
            <w:top w:val="none" w:sz="0" w:space="0" w:color="auto"/>
            <w:left w:val="none" w:sz="0" w:space="0" w:color="auto"/>
            <w:bottom w:val="none" w:sz="0" w:space="0" w:color="auto"/>
            <w:right w:val="none" w:sz="0" w:space="0" w:color="auto"/>
          </w:divBdr>
        </w:div>
        <w:div w:id="59713649">
          <w:marLeft w:val="0"/>
          <w:marRight w:val="0"/>
          <w:marTop w:val="0"/>
          <w:marBottom w:val="0"/>
          <w:divBdr>
            <w:top w:val="none" w:sz="0" w:space="0" w:color="auto"/>
            <w:left w:val="none" w:sz="0" w:space="0" w:color="auto"/>
            <w:bottom w:val="none" w:sz="0" w:space="0" w:color="auto"/>
            <w:right w:val="none" w:sz="0" w:space="0" w:color="auto"/>
          </w:divBdr>
        </w:div>
        <w:div w:id="2089617852">
          <w:marLeft w:val="0"/>
          <w:marRight w:val="0"/>
          <w:marTop w:val="0"/>
          <w:marBottom w:val="0"/>
          <w:divBdr>
            <w:top w:val="none" w:sz="0" w:space="0" w:color="auto"/>
            <w:left w:val="none" w:sz="0" w:space="0" w:color="auto"/>
            <w:bottom w:val="none" w:sz="0" w:space="0" w:color="auto"/>
            <w:right w:val="none" w:sz="0" w:space="0" w:color="auto"/>
          </w:divBdr>
        </w:div>
        <w:div w:id="2102874890">
          <w:marLeft w:val="0"/>
          <w:marRight w:val="0"/>
          <w:marTop w:val="0"/>
          <w:marBottom w:val="0"/>
          <w:divBdr>
            <w:top w:val="none" w:sz="0" w:space="0" w:color="auto"/>
            <w:left w:val="none" w:sz="0" w:space="0" w:color="auto"/>
            <w:bottom w:val="none" w:sz="0" w:space="0" w:color="auto"/>
            <w:right w:val="none" w:sz="0" w:space="0" w:color="auto"/>
          </w:divBdr>
        </w:div>
      </w:divsChild>
    </w:div>
    <w:div w:id="1118379306">
      <w:bodyDiv w:val="1"/>
      <w:marLeft w:val="0"/>
      <w:marRight w:val="0"/>
      <w:marTop w:val="0"/>
      <w:marBottom w:val="0"/>
      <w:divBdr>
        <w:top w:val="none" w:sz="0" w:space="0" w:color="auto"/>
        <w:left w:val="none" w:sz="0" w:space="0" w:color="auto"/>
        <w:bottom w:val="none" w:sz="0" w:space="0" w:color="auto"/>
        <w:right w:val="none" w:sz="0" w:space="0" w:color="auto"/>
      </w:divBdr>
      <w:divsChild>
        <w:div w:id="1094547146">
          <w:marLeft w:val="0"/>
          <w:marRight w:val="0"/>
          <w:marTop w:val="0"/>
          <w:marBottom w:val="0"/>
          <w:divBdr>
            <w:top w:val="none" w:sz="0" w:space="0" w:color="auto"/>
            <w:left w:val="none" w:sz="0" w:space="0" w:color="auto"/>
            <w:bottom w:val="none" w:sz="0" w:space="0" w:color="auto"/>
            <w:right w:val="none" w:sz="0" w:space="0" w:color="auto"/>
          </w:divBdr>
        </w:div>
        <w:div w:id="1188837396">
          <w:marLeft w:val="0"/>
          <w:marRight w:val="0"/>
          <w:marTop w:val="0"/>
          <w:marBottom w:val="0"/>
          <w:divBdr>
            <w:top w:val="none" w:sz="0" w:space="0" w:color="auto"/>
            <w:left w:val="none" w:sz="0" w:space="0" w:color="auto"/>
            <w:bottom w:val="none" w:sz="0" w:space="0" w:color="auto"/>
            <w:right w:val="none" w:sz="0" w:space="0" w:color="auto"/>
          </w:divBdr>
        </w:div>
        <w:div w:id="2022120652">
          <w:marLeft w:val="0"/>
          <w:marRight w:val="0"/>
          <w:marTop w:val="0"/>
          <w:marBottom w:val="0"/>
          <w:divBdr>
            <w:top w:val="none" w:sz="0" w:space="0" w:color="auto"/>
            <w:left w:val="none" w:sz="0" w:space="0" w:color="auto"/>
            <w:bottom w:val="none" w:sz="0" w:space="0" w:color="auto"/>
            <w:right w:val="none" w:sz="0" w:space="0" w:color="auto"/>
          </w:divBdr>
        </w:div>
        <w:div w:id="1047994138">
          <w:marLeft w:val="0"/>
          <w:marRight w:val="0"/>
          <w:marTop w:val="0"/>
          <w:marBottom w:val="0"/>
          <w:divBdr>
            <w:top w:val="none" w:sz="0" w:space="0" w:color="auto"/>
            <w:left w:val="none" w:sz="0" w:space="0" w:color="auto"/>
            <w:bottom w:val="none" w:sz="0" w:space="0" w:color="auto"/>
            <w:right w:val="none" w:sz="0" w:space="0" w:color="auto"/>
          </w:divBdr>
        </w:div>
      </w:divsChild>
    </w:div>
    <w:div w:id="1233586195">
      <w:bodyDiv w:val="1"/>
      <w:marLeft w:val="0"/>
      <w:marRight w:val="0"/>
      <w:marTop w:val="0"/>
      <w:marBottom w:val="0"/>
      <w:divBdr>
        <w:top w:val="none" w:sz="0" w:space="0" w:color="auto"/>
        <w:left w:val="none" w:sz="0" w:space="0" w:color="auto"/>
        <w:bottom w:val="none" w:sz="0" w:space="0" w:color="auto"/>
        <w:right w:val="none" w:sz="0" w:space="0" w:color="auto"/>
      </w:divBdr>
    </w:div>
    <w:div w:id="1252422630">
      <w:bodyDiv w:val="1"/>
      <w:marLeft w:val="0"/>
      <w:marRight w:val="0"/>
      <w:marTop w:val="0"/>
      <w:marBottom w:val="0"/>
      <w:divBdr>
        <w:top w:val="none" w:sz="0" w:space="0" w:color="auto"/>
        <w:left w:val="none" w:sz="0" w:space="0" w:color="auto"/>
        <w:bottom w:val="none" w:sz="0" w:space="0" w:color="auto"/>
        <w:right w:val="none" w:sz="0" w:space="0" w:color="auto"/>
      </w:divBdr>
      <w:divsChild>
        <w:div w:id="1682008215">
          <w:marLeft w:val="0"/>
          <w:marRight w:val="0"/>
          <w:marTop w:val="0"/>
          <w:marBottom w:val="0"/>
          <w:divBdr>
            <w:top w:val="none" w:sz="0" w:space="0" w:color="auto"/>
            <w:left w:val="none" w:sz="0" w:space="0" w:color="auto"/>
            <w:bottom w:val="none" w:sz="0" w:space="0" w:color="auto"/>
            <w:right w:val="none" w:sz="0" w:space="0" w:color="auto"/>
          </w:divBdr>
        </w:div>
        <w:div w:id="13849078">
          <w:marLeft w:val="0"/>
          <w:marRight w:val="0"/>
          <w:marTop w:val="0"/>
          <w:marBottom w:val="0"/>
          <w:divBdr>
            <w:top w:val="none" w:sz="0" w:space="0" w:color="auto"/>
            <w:left w:val="none" w:sz="0" w:space="0" w:color="auto"/>
            <w:bottom w:val="none" w:sz="0" w:space="0" w:color="auto"/>
            <w:right w:val="none" w:sz="0" w:space="0" w:color="auto"/>
          </w:divBdr>
        </w:div>
        <w:div w:id="1593203633">
          <w:marLeft w:val="0"/>
          <w:marRight w:val="0"/>
          <w:marTop w:val="0"/>
          <w:marBottom w:val="0"/>
          <w:divBdr>
            <w:top w:val="none" w:sz="0" w:space="0" w:color="auto"/>
            <w:left w:val="none" w:sz="0" w:space="0" w:color="auto"/>
            <w:bottom w:val="none" w:sz="0" w:space="0" w:color="auto"/>
            <w:right w:val="none" w:sz="0" w:space="0" w:color="auto"/>
          </w:divBdr>
        </w:div>
        <w:div w:id="953484675">
          <w:marLeft w:val="0"/>
          <w:marRight w:val="0"/>
          <w:marTop w:val="0"/>
          <w:marBottom w:val="0"/>
          <w:divBdr>
            <w:top w:val="none" w:sz="0" w:space="0" w:color="auto"/>
            <w:left w:val="none" w:sz="0" w:space="0" w:color="auto"/>
            <w:bottom w:val="none" w:sz="0" w:space="0" w:color="auto"/>
            <w:right w:val="none" w:sz="0" w:space="0" w:color="auto"/>
          </w:divBdr>
        </w:div>
        <w:div w:id="1793087586">
          <w:marLeft w:val="0"/>
          <w:marRight w:val="0"/>
          <w:marTop w:val="0"/>
          <w:marBottom w:val="0"/>
          <w:divBdr>
            <w:top w:val="none" w:sz="0" w:space="0" w:color="auto"/>
            <w:left w:val="none" w:sz="0" w:space="0" w:color="auto"/>
            <w:bottom w:val="none" w:sz="0" w:space="0" w:color="auto"/>
            <w:right w:val="none" w:sz="0" w:space="0" w:color="auto"/>
          </w:divBdr>
        </w:div>
      </w:divsChild>
    </w:div>
    <w:div w:id="1355956595">
      <w:bodyDiv w:val="1"/>
      <w:marLeft w:val="0"/>
      <w:marRight w:val="0"/>
      <w:marTop w:val="0"/>
      <w:marBottom w:val="0"/>
      <w:divBdr>
        <w:top w:val="none" w:sz="0" w:space="0" w:color="auto"/>
        <w:left w:val="none" w:sz="0" w:space="0" w:color="auto"/>
        <w:bottom w:val="none" w:sz="0" w:space="0" w:color="auto"/>
        <w:right w:val="none" w:sz="0" w:space="0" w:color="auto"/>
      </w:divBdr>
    </w:div>
    <w:div w:id="1447312936">
      <w:bodyDiv w:val="1"/>
      <w:marLeft w:val="0"/>
      <w:marRight w:val="0"/>
      <w:marTop w:val="0"/>
      <w:marBottom w:val="0"/>
      <w:divBdr>
        <w:top w:val="none" w:sz="0" w:space="0" w:color="auto"/>
        <w:left w:val="none" w:sz="0" w:space="0" w:color="auto"/>
        <w:bottom w:val="none" w:sz="0" w:space="0" w:color="auto"/>
        <w:right w:val="none" w:sz="0" w:space="0" w:color="auto"/>
      </w:divBdr>
      <w:divsChild>
        <w:div w:id="1625578446">
          <w:marLeft w:val="0"/>
          <w:marRight w:val="0"/>
          <w:marTop w:val="0"/>
          <w:marBottom w:val="0"/>
          <w:divBdr>
            <w:top w:val="none" w:sz="0" w:space="0" w:color="auto"/>
            <w:left w:val="none" w:sz="0" w:space="0" w:color="auto"/>
            <w:bottom w:val="none" w:sz="0" w:space="0" w:color="auto"/>
            <w:right w:val="none" w:sz="0" w:space="0" w:color="auto"/>
          </w:divBdr>
        </w:div>
        <w:div w:id="602811812">
          <w:marLeft w:val="0"/>
          <w:marRight w:val="0"/>
          <w:marTop w:val="0"/>
          <w:marBottom w:val="0"/>
          <w:divBdr>
            <w:top w:val="none" w:sz="0" w:space="0" w:color="auto"/>
            <w:left w:val="none" w:sz="0" w:space="0" w:color="auto"/>
            <w:bottom w:val="none" w:sz="0" w:space="0" w:color="auto"/>
            <w:right w:val="none" w:sz="0" w:space="0" w:color="auto"/>
          </w:divBdr>
        </w:div>
        <w:div w:id="264384519">
          <w:marLeft w:val="0"/>
          <w:marRight w:val="0"/>
          <w:marTop w:val="0"/>
          <w:marBottom w:val="0"/>
          <w:divBdr>
            <w:top w:val="none" w:sz="0" w:space="0" w:color="auto"/>
            <w:left w:val="none" w:sz="0" w:space="0" w:color="auto"/>
            <w:bottom w:val="none" w:sz="0" w:space="0" w:color="auto"/>
            <w:right w:val="none" w:sz="0" w:space="0" w:color="auto"/>
          </w:divBdr>
        </w:div>
        <w:div w:id="231241003">
          <w:marLeft w:val="0"/>
          <w:marRight w:val="0"/>
          <w:marTop w:val="0"/>
          <w:marBottom w:val="0"/>
          <w:divBdr>
            <w:top w:val="none" w:sz="0" w:space="0" w:color="auto"/>
            <w:left w:val="none" w:sz="0" w:space="0" w:color="auto"/>
            <w:bottom w:val="none" w:sz="0" w:space="0" w:color="auto"/>
            <w:right w:val="none" w:sz="0" w:space="0" w:color="auto"/>
          </w:divBdr>
        </w:div>
        <w:div w:id="787775152">
          <w:marLeft w:val="0"/>
          <w:marRight w:val="0"/>
          <w:marTop w:val="0"/>
          <w:marBottom w:val="0"/>
          <w:divBdr>
            <w:top w:val="none" w:sz="0" w:space="0" w:color="auto"/>
            <w:left w:val="none" w:sz="0" w:space="0" w:color="auto"/>
            <w:bottom w:val="none" w:sz="0" w:space="0" w:color="auto"/>
            <w:right w:val="none" w:sz="0" w:space="0" w:color="auto"/>
          </w:divBdr>
        </w:div>
        <w:div w:id="1704087490">
          <w:marLeft w:val="0"/>
          <w:marRight w:val="0"/>
          <w:marTop w:val="0"/>
          <w:marBottom w:val="0"/>
          <w:divBdr>
            <w:top w:val="none" w:sz="0" w:space="0" w:color="auto"/>
            <w:left w:val="none" w:sz="0" w:space="0" w:color="auto"/>
            <w:bottom w:val="none" w:sz="0" w:space="0" w:color="auto"/>
            <w:right w:val="none" w:sz="0" w:space="0" w:color="auto"/>
          </w:divBdr>
        </w:div>
      </w:divsChild>
    </w:div>
    <w:div w:id="1454398444">
      <w:bodyDiv w:val="1"/>
      <w:marLeft w:val="0"/>
      <w:marRight w:val="0"/>
      <w:marTop w:val="0"/>
      <w:marBottom w:val="0"/>
      <w:divBdr>
        <w:top w:val="none" w:sz="0" w:space="0" w:color="auto"/>
        <w:left w:val="none" w:sz="0" w:space="0" w:color="auto"/>
        <w:bottom w:val="none" w:sz="0" w:space="0" w:color="auto"/>
        <w:right w:val="none" w:sz="0" w:space="0" w:color="auto"/>
      </w:divBdr>
      <w:divsChild>
        <w:div w:id="1191844641">
          <w:marLeft w:val="0"/>
          <w:marRight w:val="0"/>
          <w:marTop w:val="0"/>
          <w:marBottom w:val="0"/>
          <w:divBdr>
            <w:top w:val="none" w:sz="0" w:space="0" w:color="auto"/>
            <w:left w:val="none" w:sz="0" w:space="0" w:color="auto"/>
            <w:bottom w:val="none" w:sz="0" w:space="0" w:color="auto"/>
            <w:right w:val="none" w:sz="0" w:space="0" w:color="auto"/>
          </w:divBdr>
        </w:div>
      </w:divsChild>
    </w:div>
    <w:div w:id="1608805289">
      <w:bodyDiv w:val="1"/>
      <w:marLeft w:val="0"/>
      <w:marRight w:val="0"/>
      <w:marTop w:val="0"/>
      <w:marBottom w:val="0"/>
      <w:divBdr>
        <w:top w:val="none" w:sz="0" w:space="0" w:color="auto"/>
        <w:left w:val="none" w:sz="0" w:space="0" w:color="auto"/>
        <w:bottom w:val="none" w:sz="0" w:space="0" w:color="auto"/>
        <w:right w:val="none" w:sz="0" w:space="0" w:color="auto"/>
      </w:divBdr>
    </w:div>
    <w:div w:id="1610501577">
      <w:bodyDiv w:val="1"/>
      <w:marLeft w:val="0"/>
      <w:marRight w:val="0"/>
      <w:marTop w:val="0"/>
      <w:marBottom w:val="0"/>
      <w:divBdr>
        <w:top w:val="none" w:sz="0" w:space="0" w:color="auto"/>
        <w:left w:val="none" w:sz="0" w:space="0" w:color="auto"/>
        <w:bottom w:val="none" w:sz="0" w:space="0" w:color="auto"/>
        <w:right w:val="none" w:sz="0" w:space="0" w:color="auto"/>
      </w:divBdr>
      <w:divsChild>
        <w:div w:id="973827732">
          <w:marLeft w:val="0"/>
          <w:marRight w:val="0"/>
          <w:marTop w:val="0"/>
          <w:marBottom w:val="0"/>
          <w:divBdr>
            <w:top w:val="none" w:sz="0" w:space="0" w:color="auto"/>
            <w:left w:val="none" w:sz="0" w:space="0" w:color="auto"/>
            <w:bottom w:val="none" w:sz="0" w:space="0" w:color="auto"/>
            <w:right w:val="none" w:sz="0" w:space="0" w:color="auto"/>
          </w:divBdr>
        </w:div>
        <w:div w:id="1279920648">
          <w:marLeft w:val="0"/>
          <w:marRight w:val="0"/>
          <w:marTop w:val="0"/>
          <w:marBottom w:val="0"/>
          <w:divBdr>
            <w:top w:val="none" w:sz="0" w:space="0" w:color="auto"/>
            <w:left w:val="none" w:sz="0" w:space="0" w:color="auto"/>
            <w:bottom w:val="none" w:sz="0" w:space="0" w:color="auto"/>
            <w:right w:val="none" w:sz="0" w:space="0" w:color="auto"/>
          </w:divBdr>
        </w:div>
        <w:div w:id="1525287190">
          <w:marLeft w:val="0"/>
          <w:marRight w:val="0"/>
          <w:marTop w:val="0"/>
          <w:marBottom w:val="0"/>
          <w:divBdr>
            <w:top w:val="none" w:sz="0" w:space="0" w:color="auto"/>
            <w:left w:val="none" w:sz="0" w:space="0" w:color="auto"/>
            <w:bottom w:val="none" w:sz="0" w:space="0" w:color="auto"/>
            <w:right w:val="none" w:sz="0" w:space="0" w:color="auto"/>
          </w:divBdr>
        </w:div>
        <w:div w:id="249049003">
          <w:marLeft w:val="0"/>
          <w:marRight w:val="0"/>
          <w:marTop w:val="0"/>
          <w:marBottom w:val="0"/>
          <w:divBdr>
            <w:top w:val="none" w:sz="0" w:space="0" w:color="auto"/>
            <w:left w:val="none" w:sz="0" w:space="0" w:color="auto"/>
            <w:bottom w:val="none" w:sz="0" w:space="0" w:color="auto"/>
            <w:right w:val="none" w:sz="0" w:space="0" w:color="auto"/>
          </w:divBdr>
        </w:div>
        <w:div w:id="1540824540">
          <w:marLeft w:val="0"/>
          <w:marRight w:val="0"/>
          <w:marTop w:val="0"/>
          <w:marBottom w:val="0"/>
          <w:divBdr>
            <w:top w:val="none" w:sz="0" w:space="0" w:color="auto"/>
            <w:left w:val="none" w:sz="0" w:space="0" w:color="auto"/>
            <w:bottom w:val="none" w:sz="0" w:space="0" w:color="auto"/>
            <w:right w:val="none" w:sz="0" w:space="0" w:color="auto"/>
          </w:divBdr>
        </w:div>
        <w:div w:id="336814686">
          <w:marLeft w:val="0"/>
          <w:marRight w:val="0"/>
          <w:marTop w:val="0"/>
          <w:marBottom w:val="0"/>
          <w:divBdr>
            <w:top w:val="none" w:sz="0" w:space="0" w:color="auto"/>
            <w:left w:val="none" w:sz="0" w:space="0" w:color="auto"/>
            <w:bottom w:val="none" w:sz="0" w:space="0" w:color="auto"/>
            <w:right w:val="none" w:sz="0" w:space="0" w:color="auto"/>
          </w:divBdr>
        </w:div>
      </w:divsChild>
    </w:div>
    <w:div w:id="1627547338">
      <w:bodyDiv w:val="1"/>
      <w:marLeft w:val="0"/>
      <w:marRight w:val="0"/>
      <w:marTop w:val="0"/>
      <w:marBottom w:val="0"/>
      <w:divBdr>
        <w:top w:val="none" w:sz="0" w:space="0" w:color="auto"/>
        <w:left w:val="none" w:sz="0" w:space="0" w:color="auto"/>
        <w:bottom w:val="none" w:sz="0" w:space="0" w:color="auto"/>
        <w:right w:val="none" w:sz="0" w:space="0" w:color="auto"/>
      </w:divBdr>
      <w:divsChild>
        <w:div w:id="482698259">
          <w:marLeft w:val="0"/>
          <w:marRight w:val="0"/>
          <w:marTop w:val="0"/>
          <w:marBottom w:val="0"/>
          <w:divBdr>
            <w:top w:val="none" w:sz="0" w:space="0" w:color="auto"/>
            <w:left w:val="none" w:sz="0" w:space="0" w:color="auto"/>
            <w:bottom w:val="none" w:sz="0" w:space="0" w:color="auto"/>
            <w:right w:val="none" w:sz="0" w:space="0" w:color="auto"/>
          </w:divBdr>
        </w:div>
        <w:div w:id="1661931884">
          <w:marLeft w:val="0"/>
          <w:marRight w:val="0"/>
          <w:marTop w:val="0"/>
          <w:marBottom w:val="0"/>
          <w:divBdr>
            <w:top w:val="none" w:sz="0" w:space="0" w:color="auto"/>
            <w:left w:val="none" w:sz="0" w:space="0" w:color="auto"/>
            <w:bottom w:val="none" w:sz="0" w:space="0" w:color="auto"/>
            <w:right w:val="none" w:sz="0" w:space="0" w:color="auto"/>
          </w:divBdr>
        </w:div>
        <w:div w:id="2036953298">
          <w:marLeft w:val="0"/>
          <w:marRight w:val="0"/>
          <w:marTop w:val="0"/>
          <w:marBottom w:val="0"/>
          <w:divBdr>
            <w:top w:val="none" w:sz="0" w:space="0" w:color="auto"/>
            <w:left w:val="none" w:sz="0" w:space="0" w:color="auto"/>
            <w:bottom w:val="none" w:sz="0" w:space="0" w:color="auto"/>
            <w:right w:val="none" w:sz="0" w:space="0" w:color="auto"/>
          </w:divBdr>
        </w:div>
      </w:divsChild>
    </w:div>
    <w:div w:id="1698386275">
      <w:bodyDiv w:val="1"/>
      <w:marLeft w:val="0"/>
      <w:marRight w:val="0"/>
      <w:marTop w:val="0"/>
      <w:marBottom w:val="0"/>
      <w:divBdr>
        <w:top w:val="none" w:sz="0" w:space="0" w:color="auto"/>
        <w:left w:val="none" w:sz="0" w:space="0" w:color="auto"/>
        <w:bottom w:val="none" w:sz="0" w:space="0" w:color="auto"/>
        <w:right w:val="none" w:sz="0" w:space="0" w:color="auto"/>
      </w:divBdr>
      <w:divsChild>
        <w:div w:id="955718430">
          <w:marLeft w:val="0"/>
          <w:marRight w:val="0"/>
          <w:marTop w:val="0"/>
          <w:marBottom w:val="0"/>
          <w:divBdr>
            <w:top w:val="none" w:sz="0" w:space="0" w:color="auto"/>
            <w:left w:val="none" w:sz="0" w:space="0" w:color="auto"/>
            <w:bottom w:val="none" w:sz="0" w:space="0" w:color="auto"/>
            <w:right w:val="none" w:sz="0" w:space="0" w:color="auto"/>
          </w:divBdr>
        </w:div>
      </w:divsChild>
    </w:div>
    <w:div w:id="1727024500">
      <w:bodyDiv w:val="1"/>
      <w:marLeft w:val="0"/>
      <w:marRight w:val="0"/>
      <w:marTop w:val="0"/>
      <w:marBottom w:val="0"/>
      <w:divBdr>
        <w:top w:val="none" w:sz="0" w:space="0" w:color="auto"/>
        <w:left w:val="none" w:sz="0" w:space="0" w:color="auto"/>
        <w:bottom w:val="none" w:sz="0" w:space="0" w:color="auto"/>
        <w:right w:val="none" w:sz="0" w:space="0" w:color="auto"/>
      </w:divBdr>
      <w:divsChild>
        <w:div w:id="967858645">
          <w:marLeft w:val="0"/>
          <w:marRight w:val="0"/>
          <w:marTop w:val="0"/>
          <w:marBottom w:val="0"/>
          <w:divBdr>
            <w:top w:val="none" w:sz="0" w:space="0" w:color="auto"/>
            <w:left w:val="none" w:sz="0" w:space="0" w:color="auto"/>
            <w:bottom w:val="none" w:sz="0" w:space="0" w:color="auto"/>
            <w:right w:val="none" w:sz="0" w:space="0" w:color="auto"/>
          </w:divBdr>
        </w:div>
        <w:div w:id="1954091246">
          <w:marLeft w:val="0"/>
          <w:marRight w:val="0"/>
          <w:marTop w:val="0"/>
          <w:marBottom w:val="0"/>
          <w:divBdr>
            <w:top w:val="none" w:sz="0" w:space="0" w:color="auto"/>
            <w:left w:val="none" w:sz="0" w:space="0" w:color="auto"/>
            <w:bottom w:val="none" w:sz="0" w:space="0" w:color="auto"/>
            <w:right w:val="none" w:sz="0" w:space="0" w:color="auto"/>
          </w:divBdr>
        </w:div>
        <w:div w:id="264925086">
          <w:marLeft w:val="0"/>
          <w:marRight w:val="0"/>
          <w:marTop w:val="0"/>
          <w:marBottom w:val="0"/>
          <w:divBdr>
            <w:top w:val="none" w:sz="0" w:space="0" w:color="auto"/>
            <w:left w:val="none" w:sz="0" w:space="0" w:color="auto"/>
            <w:bottom w:val="none" w:sz="0" w:space="0" w:color="auto"/>
            <w:right w:val="none" w:sz="0" w:space="0" w:color="auto"/>
          </w:divBdr>
        </w:div>
        <w:div w:id="735935619">
          <w:marLeft w:val="0"/>
          <w:marRight w:val="0"/>
          <w:marTop w:val="0"/>
          <w:marBottom w:val="0"/>
          <w:divBdr>
            <w:top w:val="none" w:sz="0" w:space="0" w:color="auto"/>
            <w:left w:val="none" w:sz="0" w:space="0" w:color="auto"/>
            <w:bottom w:val="none" w:sz="0" w:space="0" w:color="auto"/>
            <w:right w:val="none" w:sz="0" w:space="0" w:color="auto"/>
          </w:divBdr>
        </w:div>
        <w:div w:id="1606881811">
          <w:marLeft w:val="0"/>
          <w:marRight w:val="0"/>
          <w:marTop w:val="0"/>
          <w:marBottom w:val="0"/>
          <w:divBdr>
            <w:top w:val="none" w:sz="0" w:space="0" w:color="auto"/>
            <w:left w:val="none" w:sz="0" w:space="0" w:color="auto"/>
            <w:bottom w:val="none" w:sz="0" w:space="0" w:color="auto"/>
            <w:right w:val="none" w:sz="0" w:space="0" w:color="auto"/>
          </w:divBdr>
        </w:div>
      </w:divsChild>
    </w:div>
    <w:div w:id="1730229381">
      <w:bodyDiv w:val="1"/>
      <w:marLeft w:val="0"/>
      <w:marRight w:val="0"/>
      <w:marTop w:val="0"/>
      <w:marBottom w:val="0"/>
      <w:divBdr>
        <w:top w:val="none" w:sz="0" w:space="0" w:color="auto"/>
        <w:left w:val="none" w:sz="0" w:space="0" w:color="auto"/>
        <w:bottom w:val="none" w:sz="0" w:space="0" w:color="auto"/>
        <w:right w:val="none" w:sz="0" w:space="0" w:color="auto"/>
      </w:divBdr>
      <w:divsChild>
        <w:div w:id="2129624243">
          <w:marLeft w:val="0"/>
          <w:marRight w:val="0"/>
          <w:marTop w:val="0"/>
          <w:marBottom w:val="0"/>
          <w:divBdr>
            <w:top w:val="none" w:sz="0" w:space="0" w:color="auto"/>
            <w:left w:val="none" w:sz="0" w:space="0" w:color="auto"/>
            <w:bottom w:val="none" w:sz="0" w:space="0" w:color="auto"/>
            <w:right w:val="none" w:sz="0" w:space="0" w:color="auto"/>
          </w:divBdr>
        </w:div>
        <w:div w:id="210503838">
          <w:marLeft w:val="0"/>
          <w:marRight w:val="0"/>
          <w:marTop w:val="0"/>
          <w:marBottom w:val="0"/>
          <w:divBdr>
            <w:top w:val="none" w:sz="0" w:space="0" w:color="auto"/>
            <w:left w:val="none" w:sz="0" w:space="0" w:color="auto"/>
            <w:bottom w:val="none" w:sz="0" w:space="0" w:color="auto"/>
            <w:right w:val="none" w:sz="0" w:space="0" w:color="auto"/>
          </w:divBdr>
        </w:div>
        <w:div w:id="707071075">
          <w:marLeft w:val="0"/>
          <w:marRight w:val="0"/>
          <w:marTop w:val="0"/>
          <w:marBottom w:val="0"/>
          <w:divBdr>
            <w:top w:val="none" w:sz="0" w:space="0" w:color="auto"/>
            <w:left w:val="none" w:sz="0" w:space="0" w:color="auto"/>
            <w:bottom w:val="none" w:sz="0" w:space="0" w:color="auto"/>
            <w:right w:val="none" w:sz="0" w:space="0" w:color="auto"/>
          </w:divBdr>
        </w:div>
        <w:div w:id="1053580454">
          <w:marLeft w:val="0"/>
          <w:marRight w:val="0"/>
          <w:marTop w:val="0"/>
          <w:marBottom w:val="0"/>
          <w:divBdr>
            <w:top w:val="none" w:sz="0" w:space="0" w:color="auto"/>
            <w:left w:val="none" w:sz="0" w:space="0" w:color="auto"/>
            <w:bottom w:val="none" w:sz="0" w:space="0" w:color="auto"/>
            <w:right w:val="none" w:sz="0" w:space="0" w:color="auto"/>
          </w:divBdr>
        </w:div>
      </w:divsChild>
    </w:div>
    <w:div w:id="1787584045">
      <w:bodyDiv w:val="1"/>
      <w:marLeft w:val="0"/>
      <w:marRight w:val="0"/>
      <w:marTop w:val="0"/>
      <w:marBottom w:val="0"/>
      <w:divBdr>
        <w:top w:val="none" w:sz="0" w:space="0" w:color="auto"/>
        <w:left w:val="none" w:sz="0" w:space="0" w:color="auto"/>
        <w:bottom w:val="none" w:sz="0" w:space="0" w:color="auto"/>
        <w:right w:val="none" w:sz="0" w:space="0" w:color="auto"/>
      </w:divBdr>
      <w:divsChild>
        <w:div w:id="367679098">
          <w:marLeft w:val="0"/>
          <w:marRight w:val="0"/>
          <w:marTop w:val="0"/>
          <w:marBottom w:val="0"/>
          <w:divBdr>
            <w:top w:val="none" w:sz="0" w:space="0" w:color="auto"/>
            <w:left w:val="none" w:sz="0" w:space="0" w:color="auto"/>
            <w:bottom w:val="none" w:sz="0" w:space="0" w:color="auto"/>
            <w:right w:val="none" w:sz="0" w:space="0" w:color="auto"/>
          </w:divBdr>
        </w:div>
        <w:div w:id="522016460">
          <w:marLeft w:val="0"/>
          <w:marRight w:val="0"/>
          <w:marTop w:val="0"/>
          <w:marBottom w:val="0"/>
          <w:divBdr>
            <w:top w:val="none" w:sz="0" w:space="0" w:color="auto"/>
            <w:left w:val="none" w:sz="0" w:space="0" w:color="auto"/>
            <w:bottom w:val="none" w:sz="0" w:space="0" w:color="auto"/>
            <w:right w:val="none" w:sz="0" w:space="0" w:color="auto"/>
          </w:divBdr>
        </w:div>
        <w:div w:id="1742409572">
          <w:marLeft w:val="0"/>
          <w:marRight w:val="0"/>
          <w:marTop w:val="0"/>
          <w:marBottom w:val="0"/>
          <w:divBdr>
            <w:top w:val="none" w:sz="0" w:space="0" w:color="auto"/>
            <w:left w:val="none" w:sz="0" w:space="0" w:color="auto"/>
            <w:bottom w:val="none" w:sz="0" w:space="0" w:color="auto"/>
            <w:right w:val="none" w:sz="0" w:space="0" w:color="auto"/>
          </w:divBdr>
        </w:div>
      </w:divsChild>
    </w:div>
    <w:div w:id="1972321960">
      <w:bodyDiv w:val="1"/>
      <w:marLeft w:val="0"/>
      <w:marRight w:val="0"/>
      <w:marTop w:val="0"/>
      <w:marBottom w:val="0"/>
      <w:divBdr>
        <w:top w:val="none" w:sz="0" w:space="0" w:color="auto"/>
        <w:left w:val="none" w:sz="0" w:space="0" w:color="auto"/>
        <w:bottom w:val="none" w:sz="0" w:space="0" w:color="auto"/>
        <w:right w:val="none" w:sz="0" w:space="0" w:color="auto"/>
      </w:divBdr>
      <w:divsChild>
        <w:div w:id="1939484514">
          <w:marLeft w:val="0"/>
          <w:marRight w:val="0"/>
          <w:marTop w:val="0"/>
          <w:marBottom w:val="0"/>
          <w:divBdr>
            <w:top w:val="none" w:sz="0" w:space="0" w:color="auto"/>
            <w:left w:val="none" w:sz="0" w:space="0" w:color="auto"/>
            <w:bottom w:val="none" w:sz="0" w:space="0" w:color="auto"/>
            <w:right w:val="none" w:sz="0" w:space="0" w:color="auto"/>
          </w:divBdr>
        </w:div>
        <w:div w:id="1802334727">
          <w:marLeft w:val="0"/>
          <w:marRight w:val="0"/>
          <w:marTop w:val="0"/>
          <w:marBottom w:val="0"/>
          <w:divBdr>
            <w:top w:val="none" w:sz="0" w:space="0" w:color="auto"/>
            <w:left w:val="none" w:sz="0" w:space="0" w:color="auto"/>
            <w:bottom w:val="none" w:sz="0" w:space="0" w:color="auto"/>
            <w:right w:val="none" w:sz="0" w:space="0" w:color="auto"/>
          </w:divBdr>
        </w:div>
        <w:div w:id="428158362">
          <w:marLeft w:val="0"/>
          <w:marRight w:val="0"/>
          <w:marTop w:val="0"/>
          <w:marBottom w:val="0"/>
          <w:divBdr>
            <w:top w:val="none" w:sz="0" w:space="0" w:color="auto"/>
            <w:left w:val="none" w:sz="0" w:space="0" w:color="auto"/>
            <w:bottom w:val="none" w:sz="0" w:space="0" w:color="auto"/>
            <w:right w:val="none" w:sz="0" w:space="0" w:color="auto"/>
          </w:divBdr>
        </w:div>
        <w:div w:id="1884708861">
          <w:marLeft w:val="0"/>
          <w:marRight w:val="0"/>
          <w:marTop w:val="0"/>
          <w:marBottom w:val="0"/>
          <w:divBdr>
            <w:top w:val="none" w:sz="0" w:space="0" w:color="auto"/>
            <w:left w:val="none" w:sz="0" w:space="0" w:color="auto"/>
            <w:bottom w:val="none" w:sz="0" w:space="0" w:color="auto"/>
            <w:right w:val="none" w:sz="0" w:space="0" w:color="auto"/>
          </w:divBdr>
        </w:div>
        <w:div w:id="362440814">
          <w:marLeft w:val="0"/>
          <w:marRight w:val="0"/>
          <w:marTop w:val="0"/>
          <w:marBottom w:val="0"/>
          <w:divBdr>
            <w:top w:val="none" w:sz="0" w:space="0" w:color="auto"/>
            <w:left w:val="none" w:sz="0" w:space="0" w:color="auto"/>
            <w:bottom w:val="none" w:sz="0" w:space="0" w:color="auto"/>
            <w:right w:val="none" w:sz="0" w:space="0" w:color="auto"/>
          </w:divBdr>
        </w:div>
      </w:divsChild>
    </w:div>
    <w:div w:id="2116367104">
      <w:bodyDiv w:val="1"/>
      <w:marLeft w:val="0"/>
      <w:marRight w:val="0"/>
      <w:marTop w:val="0"/>
      <w:marBottom w:val="0"/>
      <w:divBdr>
        <w:top w:val="none" w:sz="0" w:space="0" w:color="auto"/>
        <w:left w:val="none" w:sz="0" w:space="0" w:color="auto"/>
        <w:bottom w:val="none" w:sz="0" w:space="0" w:color="auto"/>
        <w:right w:val="none" w:sz="0" w:space="0" w:color="auto"/>
      </w:divBdr>
    </w:div>
    <w:div w:id="2136747842">
      <w:bodyDiv w:val="1"/>
      <w:marLeft w:val="0"/>
      <w:marRight w:val="0"/>
      <w:marTop w:val="0"/>
      <w:marBottom w:val="0"/>
      <w:divBdr>
        <w:top w:val="none" w:sz="0" w:space="0" w:color="auto"/>
        <w:left w:val="none" w:sz="0" w:space="0" w:color="auto"/>
        <w:bottom w:val="none" w:sz="0" w:space="0" w:color="auto"/>
        <w:right w:val="none" w:sz="0" w:space="0" w:color="auto"/>
      </w:divBdr>
    </w:div>
    <w:div w:id="213983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nycourts.gov/judges/cji/2-PenalLaw/220/art220hp.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 TargetMode="External"/><Relationship Id="rId2" Type="http://schemas.openxmlformats.org/officeDocument/2006/relationships/customXml" Target="../customXml/item2.xml"/><Relationship Id="rId16" Type="http://schemas.openxmlformats.org/officeDocument/2006/relationships/hyperlink" Target="https://www"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 TargetMode="External"/><Relationship Id="rId10" Type="http://schemas.openxmlformats.org/officeDocument/2006/relationships/endnotes" Target="endnotes.xml"/><Relationship Id="rId19" Type="http://schemas.openxmlformats.org/officeDocument/2006/relationships/hyperlink" Target="https://www.nycourts.gov/judges/cji/2-PenalLaw/220/220-39%281%2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3e4dc12-621e-4585-a1cf-dc4e081e9754" xsi:nil="true"/>
    <lcf76f155ced4ddcb4097134ff3c332f xmlns="10ca458b-e7e4-48df-bb5e-ddc09d7eb97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7CA62CF59A384296B13533C91D4FD0" ma:contentTypeVersion="17" ma:contentTypeDescription="Create a new document." ma:contentTypeScope="" ma:versionID="6745d36a116b1409c3e2a648431ba379">
  <xsd:schema xmlns:xsd="http://www.w3.org/2001/XMLSchema" xmlns:xs="http://www.w3.org/2001/XMLSchema" xmlns:p="http://schemas.microsoft.com/office/2006/metadata/properties" xmlns:ns2="10ca458b-e7e4-48df-bb5e-ddc09d7eb974" xmlns:ns3="b3e4dc12-621e-4585-a1cf-dc4e081e9754" targetNamespace="http://schemas.microsoft.com/office/2006/metadata/properties" ma:root="true" ma:fieldsID="a367706fb12bfa3b34a3185a00f77b4e" ns2:_="" ns3:_="">
    <xsd:import namespace="10ca458b-e7e4-48df-bb5e-ddc09d7eb974"/>
    <xsd:import namespace="b3e4dc12-621e-4585-a1cf-dc4e081e9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a458b-e7e4-48df-bb5e-ddc09d7eb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3559f5-bf3e-45d6-b2ae-ff53396d28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4dc12-621e-4585-a1cf-dc4e081e97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172036-338a-4ca4-97b7-811b3764dbbf}" ma:internalName="TaxCatchAll" ma:showField="CatchAllData" ma:web="b3e4dc12-621e-4585-a1cf-dc4e081e9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79768-4AF9-498F-9304-45B1C99351E6}">
  <ds:schemaRefs>
    <ds:schemaRef ds:uri="http://schemas.openxmlformats.org/officeDocument/2006/bibliography"/>
  </ds:schemaRefs>
</ds:datastoreItem>
</file>

<file path=customXml/itemProps2.xml><?xml version="1.0" encoding="utf-8"?>
<ds:datastoreItem xmlns:ds="http://schemas.openxmlformats.org/officeDocument/2006/customXml" ds:itemID="{22BD29A2-19E9-4D22-8DA1-6F1BE2C162D8}">
  <ds:schemaRefs>
    <ds:schemaRef ds:uri="http://schemas.microsoft.com/office/2006/metadata/properties"/>
    <ds:schemaRef ds:uri="http://schemas.microsoft.com/office/infopath/2007/PartnerControls"/>
    <ds:schemaRef ds:uri="b3e4dc12-621e-4585-a1cf-dc4e081e9754"/>
    <ds:schemaRef ds:uri="10ca458b-e7e4-48df-bb5e-ddc09d7eb974"/>
  </ds:schemaRefs>
</ds:datastoreItem>
</file>

<file path=customXml/itemProps3.xml><?xml version="1.0" encoding="utf-8"?>
<ds:datastoreItem xmlns:ds="http://schemas.openxmlformats.org/officeDocument/2006/customXml" ds:itemID="{76CA67C7-5D40-4D8D-AB18-54AD5321C907}">
  <ds:schemaRefs>
    <ds:schemaRef ds:uri="http://schemas.microsoft.com/sharepoint/v3/contenttype/forms"/>
  </ds:schemaRefs>
</ds:datastoreItem>
</file>

<file path=customXml/itemProps4.xml><?xml version="1.0" encoding="utf-8"?>
<ds:datastoreItem xmlns:ds="http://schemas.openxmlformats.org/officeDocument/2006/customXml" ds:itemID="{DFC3C5C2-A991-4A62-90D3-D6CC90B36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a458b-e7e4-48df-bb5e-ddc09d7eb974"/>
    <ds:schemaRef ds:uri="b3e4dc12-621e-4585-a1cf-dc4e081e9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4778</Words>
  <Characters>26759</Characters>
  <Application>Microsoft Office Word</Application>
  <DocSecurity>0</DocSecurity>
  <Lines>453</Lines>
  <Paragraphs>97</Paragraphs>
  <ScaleCrop>false</ScaleCrop>
  <HeadingPairs>
    <vt:vector size="2" baseType="variant">
      <vt:variant>
        <vt:lpstr>Title</vt:lpstr>
      </vt:variant>
      <vt:variant>
        <vt:i4>1</vt:i4>
      </vt:variant>
    </vt:vector>
  </HeadingPairs>
  <TitlesOfParts>
    <vt:vector size="1" baseType="lpstr">
      <vt:lpstr>Sample motion to reconsider and/or reopen</vt:lpstr>
    </vt:vector>
  </TitlesOfParts>
  <Manager/>
  <Company/>
  <LinksUpToDate>false</LinksUpToDate>
  <CharactersWithSpaces>31440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motion to reconsider and/or reopen</dc:title>
  <dc:subject>U.S. v. Minter</dc:subject>
  <dc:creator>IDP</dc:creator>
  <cp:keywords/>
  <dc:description/>
  <cp:lastModifiedBy>Andrew Wachtenheim</cp:lastModifiedBy>
  <cp:revision>3</cp:revision>
  <cp:lastPrinted>2023-09-11T21:44:00Z</cp:lastPrinted>
  <dcterms:created xsi:type="dcterms:W3CDTF">2023-09-12T01:12:00Z</dcterms:created>
  <dcterms:modified xsi:type="dcterms:W3CDTF">2023-09-12T01:18:00Z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0x010100807CA62CF59A384296B13533C91D4FD0</vt:lpwstr>
  </property>
  <property fmtid="{D5CDD505-2E9C-101B-9397-08002B2CF9AE}" pid="3" name="Order">
    <vt:i4>506700</vt:i4>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MediaServiceImageTags">
    <vt:lpwstr/>
  </property>
</Properties>
</file>