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2D16"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21F8D5F"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SAMPLE </w:t>
      </w:r>
    </w:p>
    <w:p w14:paraId="5F7F29F6" w14:textId="0CAC38DD"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r>
        <w:rPr>
          <w:b/>
          <w:caps/>
        </w:rPr>
        <w:t xml:space="preserve">Motion to Reconsider </w:t>
      </w:r>
      <w:r>
        <w:rPr>
          <w:b/>
          <w:caps/>
        </w:rPr>
        <w:t>OR</w:t>
      </w:r>
      <w:r>
        <w:rPr>
          <w:b/>
          <w:caps/>
        </w:rPr>
        <w:t xml:space="preserve"> TERMINATE REMOVAL PROCEEDINGS </w:t>
      </w:r>
    </w:p>
    <w:p w14:paraId="2C79A1E7"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r>
        <w:rPr>
          <w:b/>
          <w:caps/>
        </w:rPr>
        <w:t>(FOR FILING WITH THE BIA)</w:t>
      </w:r>
    </w:p>
    <w:p w14:paraId="5144E519"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color w:val="FF0000"/>
        </w:rPr>
      </w:pPr>
    </w:p>
    <w:p w14:paraId="5B15C32D" w14:textId="77777777" w:rsidR="00EB3F85" w:rsidRDefault="00EB3F85" w:rsidP="00EB3F85">
      <w:r>
        <w:t xml:space="preserve">This motion is </w:t>
      </w:r>
      <w:r>
        <w:rPr>
          <w:u w:val="single"/>
        </w:rPr>
        <w:t>not</w:t>
      </w:r>
      <w:r>
        <w:t xml:space="preserve"> a substitute for independent legal advice supplied by a lawyer familiar with a client’s case.  It is not intended as, nor does it constitute, legal advice.  DO NOT TREAT THIS SAMPLE MOTION AS LEGAL ADVICE.  </w:t>
      </w:r>
    </w:p>
    <w:p w14:paraId="6CED800B"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p w14:paraId="6E561902"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motion is applicable to:</w:t>
      </w:r>
    </w:p>
    <w:p w14:paraId="780A5B08"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53451B" w14:textId="6E4552D1"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Pr>
          <w:color w:val="0070C0"/>
        </w:rPr>
        <w:t xml:space="preserve">Cases in </w:t>
      </w:r>
      <w:r w:rsidR="00DC1692">
        <w:rPr>
          <w:color w:val="0070C0"/>
        </w:rPr>
        <w:t>the noncitizen was found removable due</w:t>
      </w:r>
      <w:r w:rsidR="00CF355A">
        <w:rPr>
          <w:color w:val="0070C0"/>
        </w:rPr>
        <w:t xml:space="preserve"> to </w:t>
      </w:r>
      <w:r>
        <w:rPr>
          <w:color w:val="0070C0"/>
        </w:rPr>
        <w:t>a</w:t>
      </w:r>
      <w:r w:rsidR="00CF355A">
        <w:rPr>
          <w:color w:val="0070C0"/>
        </w:rPr>
        <w:t xml:space="preserve"> drug trafficking</w:t>
      </w:r>
      <w:r>
        <w:rPr>
          <w:color w:val="0070C0"/>
        </w:rPr>
        <w:t xml:space="preserve"> aggravated felony under </w:t>
      </w:r>
      <w:r w:rsidR="00454FC1">
        <w:rPr>
          <w:color w:val="0070C0"/>
        </w:rPr>
        <w:t xml:space="preserve">INA </w:t>
      </w:r>
      <w:r w:rsidR="00454FC1" w:rsidRPr="00454FC1">
        <w:rPr>
          <w:color w:val="0070C0"/>
        </w:rPr>
        <w:t>§</w:t>
      </w:r>
      <w:r w:rsidR="00454FC1">
        <w:rPr>
          <w:color w:val="0070C0"/>
        </w:rPr>
        <w:t xml:space="preserve"> </w:t>
      </w:r>
      <w:r w:rsidR="00454FC1" w:rsidRPr="00454FC1">
        <w:rPr>
          <w:color w:val="0070C0"/>
        </w:rPr>
        <w:t>101(a)(43)(B) or offenses relating to controlled substances under INA § 237(a)(2)(B)(</w:t>
      </w:r>
      <w:proofErr w:type="spellStart"/>
      <w:r w:rsidR="00454FC1" w:rsidRPr="00454FC1">
        <w:rPr>
          <w:color w:val="0070C0"/>
        </w:rPr>
        <w:t>i</w:t>
      </w:r>
      <w:proofErr w:type="spellEnd"/>
      <w:r w:rsidR="00454FC1" w:rsidRPr="00454FC1">
        <w:rPr>
          <w:color w:val="0070C0"/>
        </w:rPr>
        <w:t>)</w:t>
      </w:r>
      <w:r w:rsidR="00AB64CE">
        <w:rPr>
          <w:color w:val="0070C0"/>
        </w:rPr>
        <w:t xml:space="preserve"> for a narcotics conviction</w:t>
      </w:r>
      <w:r w:rsidR="00955194">
        <w:rPr>
          <w:color w:val="0070C0"/>
        </w:rPr>
        <w:t xml:space="preserve"> and</w:t>
      </w:r>
      <w:r>
        <w:rPr>
          <w:color w:val="0070C0"/>
        </w:rPr>
        <w:t xml:space="preserve">, </w:t>
      </w:r>
      <w:proofErr w:type="gramStart"/>
      <w:r>
        <w:rPr>
          <w:color w:val="0070C0"/>
        </w:rPr>
        <w:t>as a result of</w:t>
      </w:r>
      <w:proofErr w:type="gramEnd"/>
      <w:r>
        <w:rPr>
          <w:color w:val="0070C0"/>
        </w:rPr>
        <w:t xml:space="preserve"> </w:t>
      </w:r>
      <w:r w:rsidR="00CF355A">
        <w:rPr>
          <w:i/>
          <w:iCs/>
          <w:color w:val="0070C0"/>
        </w:rPr>
        <w:t>United States v. Gibson</w:t>
      </w:r>
      <w:r>
        <w:rPr>
          <w:color w:val="0070C0"/>
        </w:rPr>
        <w:t>, the person is no longer deportable</w:t>
      </w:r>
      <w:r w:rsidR="00CF355A">
        <w:rPr>
          <w:color w:val="0070C0"/>
        </w:rPr>
        <w:t xml:space="preserve"> or is eligible for relief. </w:t>
      </w:r>
    </w:p>
    <w:p w14:paraId="558EF8BF"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E98C5A" w14:textId="1FF07062"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Accordingly, the motion seeks reconsideration and termination of removal proceedings</w:t>
      </w:r>
      <w:r w:rsidR="00CF355A">
        <w:t xml:space="preserve"> or remand to </w:t>
      </w:r>
      <w:r w:rsidR="00DC1692">
        <w:t>the Immigration Judge</w:t>
      </w:r>
      <w:r>
        <w:t xml:space="preserve">. </w:t>
      </w:r>
    </w:p>
    <w:p w14:paraId="62BA5826"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rPr>
      </w:pPr>
    </w:p>
    <w:p w14:paraId="21D48286" w14:textId="77777777" w:rsidR="00EB3F85" w:rsidRDefault="00EB3F85" w:rsidP="00EB3F85">
      <w:r>
        <w:t xml:space="preserve">This sample motion is intended for filing with the Board of Immigration Appeals (BIA).  If the person did </w:t>
      </w:r>
      <w:r>
        <w:rPr>
          <w:u w:val="single"/>
        </w:rPr>
        <w:t>not</w:t>
      </w:r>
      <w:r>
        <w:t xml:space="preserve"> appeal to the BIA, the motion should be filed with the Immigration Court and different regulations apply.</w:t>
      </w:r>
    </w:p>
    <w:p w14:paraId="70A0048D" w14:textId="77777777"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rPr>
      </w:pPr>
    </w:p>
    <w:p w14:paraId="45DB8611" w14:textId="70372D9B" w:rsidR="00EB3F85"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cases where the person was deportable </w:t>
      </w:r>
      <w:proofErr w:type="spellStart"/>
      <w:r>
        <w:t>a</w:t>
      </w:r>
      <w:proofErr w:type="spellEnd"/>
      <w:r w:rsidR="00955194">
        <w:t xml:space="preserve"> drug trafficking</w:t>
      </w:r>
      <w:r>
        <w:t xml:space="preserve"> aggravated felony </w:t>
      </w:r>
      <w:r>
        <w:rPr>
          <w:i/>
        </w:rPr>
        <w:t>and</w:t>
      </w:r>
      <w:r>
        <w:t xml:space="preserve"> some other ground of removability, counsel should assess whether the person now is eligible for relief from removal </w:t>
      </w:r>
      <w:proofErr w:type="gramStart"/>
      <w:r>
        <w:t>as a result of</w:t>
      </w:r>
      <w:proofErr w:type="gramEnd"/>
      <w:r>
        <w:t xml:space="preserve"> </w:t>
      </w:r>
      <w:r w:rsidR="00955194">
        <w:rPr>
          <w:i/>
        </w:rPr>
        <w:t>United States v. Gibson</w:t>
      </w:r>
      <w:r>
        <w:t xml:space="preserve">.  These respondents would need to seek reconsideration and the opportunity to apply for relief from removal.  </w:t>
      </w:r>
    </w:p>
    <w:p w14:paraId="11B302EF" w14:textId="77777777" w:rsidR="00EB3F85" w:rsidRDefault="00EB3F85" w:rsidP="00EB3F85">
      <w:pPr>
        <w:spacing w:after="200" w:line="276" w:lineRule="auto"/>
        <w:rPr>
          <w:color w:val="0070C0"/>
        </w:rPr>
      </w:pPr>
      <w:r>
        <w:rPr>
          <w:color w:val="0070C0"/>
        </w:rPr>
        <w:br w:type="page"/>
      </w:r>
    </w:p>
    <w:p w14:paraId="497931FA" w14:textId="1805862F" w:rsidR="00184629" w:rsidRPr="00EB7EEB" w:rsidRDefault="00184629" w:rsidP="0061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lastRenderedPageBreak/>
        <w:t>UNITED STATES DEPARTMENT OF JUSTICE</w:t>
      </w:r>
    </w:p>
    <w:p w14:paraId="497F2A79"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EXECUTIVE OFFICE FOR IMMIGRATION REVIEW</w:t>
      </w:r>
    </w:p>
    <w:p w14:paraId="2E8D37F4"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BOARD OF IMMIGRATION APPEALS</w:t>
      </w:r>
    </w:p>
    <w:p w14:paraId="7AA856DE"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FALLS CHURCH, VIRGINIA</w:t>
      </w:r>
    </w:p>
    <w:p w14:paraId="27196A93"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1A60D9"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02175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the Matter of:</w:t>
      </w:r>
      <w:r w:rsidRPr="00EB7EEB">
        <w:tab/>
      </w:r>
      <w:r w:rsidRPr="00EB7EEB">
        <w:tab/>
      </w:r>
      <w:r w:rsidRPr="00EB7EEB">
        <w:tab/>
      </w:r>
      <w:r w:rsidRPr="00EB7EEB">
        <w:tab/>
      </w:r>
      <w:r w:rsidRPr="00EB7EEB">
        <w:tab/>
        <w:t>)</w:t>
      </w:r>
    </w:p>
    <w:p w14:paraId="5B46020D" w14:textId="77777777"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B7EEB">
        <w:tab/>
      </w:r>
      <w:r w:rsidRPr="00EB7EEB">
        <w:tab/>
      </w:r>
      <w:r w:rsidRPr="00EB7EEB">
        <w:tab/>
      </w:r>
      <w:r w:rsidRPr="00EB7EEB">
        <w:tab/>
      </w:r>
      <w:r w:rsidRPr="00EB7EEB">
        <w:tab/>
      </w:r>
      <w:r w:rsidRPr="00EB7EEB">
        <w:tab/>
      </w:r>
      <w:r w:rsidRPr="00EB7EEB">
        <w:tab/>
        <w:t>)</w:t>
      </w:r>
    </w:p>
    <w:p w14:paraId="27C99553" w14:textId="1ADACF76" w:rsidR="00184629" w:rsidRPr="00EB7EEB" w:rsidRDefault="004F5EDB"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ab/>
      </w:r>
      <w:r>
        <w:rPr>
          <w:b/>
        </w:rPr>
        <w:tab/>
      </w:r>
      <w:r>
        <w:rPr>
          <w:b/>
        </w:rPr>
        <w:tab/>
      </w:r>
      <w:r>
        <w:rPr>
          <w:b/>
        </w:rPr>
        <w:tab/>
      </w:r>
      <w:r>
        <w:rPr>
          <w:b/>
        </w:rPr>
        <w:tab/>
      </w:r>
      <w:r w:rsidR="00184629" w:rsidRPr="00EB7EEB">
        <w:tab/>
      </w:r>
      <w:r w:rsidR="00184629" w:rsidRPr="00EB7EEB">
        <w:tab/>
        <w:t>)        A Number:</w:t>
      </w:r>
      <w:r w:rsidR="00184629" w:rsidRPr="00EB7EEB">
        <w:rPr>
          <w:b/>
        </w:rPr>
        <w:t xml:space="preserve"> </w:t>
      </w:r>
    </w:p>
    <w:p w14:paraId="7B725A81" w14:textId="77777777" w:rsidR="00184629" w:rsidRPr="00EB7EEB" w:rsidRDefault="00184629"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EB7EEB">
        <w:rPr>
          <w:b/>
        </w:rPr>
        <w:tab/>
      </w:r>
      <w:r w:rsidRPr="00EB7EEB">
        <w:rPr>
          <w:b/>
        </w:rPr>
        <w:tab/>
      </w:r>
      <w:r w:rsidRPr="00EB7EEB">
        <w:rPr>
          <w:b/>
        </w:rPr>
        <w:tab/>
      </w:r>
      <w:r w:rsidRPr="00EB7EEB">
        <w:rPr>
          <w:b/>
        </w:rPr>
        <w:tab/>
      </w:r>
      <w:r w:rsidRPr="00EB7EEB">
        <w:rPr>
          <w:b/>
        </w:rPr>
        <w:tab/>
      </w:r>
      <w:r w:rsidRPr="00EB7EEB">
        <w:tab/>
      </w:r>
      <w:r w:rsidRPr="00EB7EEB">
        <w:tab/>
        <w:t>)</w:t>
      </w:r>
      <w:r w:rsidRPr="00EB7EEB">
        <w:tab/>
      </w:r>
    </w:p>
    <w:p w14:paraId="6D070065"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Respondent.</w:t>
      </w:r>
      <w:r w:rsidRPr="00EB7EEB">
        <w:tab/>
      </w:r>
      <w:r w:rsidRPr="00EB7EEB">
        <w:tab/>
      </w:r>
      <w:r w:rsidRPr="00EB7EEB">
        <w:tab/>
      </w:r>
      <w:r w:rsidRPr="00EB7EEB">
        <w:tab/>
      </w:r>
      <w:r w:rsidRPr="00EB7EEB">
        <w:tab/>
        <w:t>)</w:t>
      </w:r>
      <w:r w:rsidRPr="00EB7EEB">
        <w:tab/>
      </w:r>
    </w:p>
    <w:p w14:paraId="40A7148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ab/>
      </w:r>
      <w:r w:rsidRPr="00EB7EEB">
        <w:tab/>
      </w:r>
      <w:r w:rsidRPr="00EB7EEB">
        <w:tab/>
      </w:r>
      <w:r w:rsidRPr="00EB7EEB">
        <w:tab/>
      </w:r>
      <w:r w:rsidRPr="00EB7EEB">
        <w:tab/>
      </w:r>
      <w:r w:rsidRPr="00EB7EEB">
        <w:tab/>
        <w:t>)</w:t>
      </w:r>
    </w:p>
    <w:p w14:paraId="64CA95C4" w14:textId="239E1241"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Removal</w:t>
      </w:r>
      <w:r w:rsidRPr="00EB7EEB">
        <w:rPr>
          <w:b/>
        </w:rPr>
        <w:t xml:space="preserve"> </w:t>
      </w:r>
      <w:r w:rsidRPr="00EB7EEB">
        <w:t>Proceedings.</w:t>
      </w:r>
      <w:r w:rsidRPr="00EB7EEB">
        <w:tab/>
      </w:r>
      <w:r w:rsidRPr="00EB7EEB">
        <w:tab/>
        <w:t xml:space="preserve">                        )</w:t>
      </w:r>
      <w:r w:rsidRPr="00EB7EEB">
        <w:tab/>
      </w:r>
      <w:r w:rsidRPr="00EB7EEB">
        <w:tab/>
      </w:r>
      <w:r w:rsidRPr="00EB7EEB">
        <w:tab/>
      </w:r>
      <w:r w:rsidRPr="00EB7EEB">
        <w:tab/>
      </w:r>
      <w:r w:rsidRPr="00EB7EEB">
        <w:tab/>
      </w:r>
      <w:r w:rsidRPr="00EB7EEB">
        <w:tab/>
      </w:r>
    </w:p>
    <w:p w14:paraId="4AE0788A"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u w:val="single"/>
        </w:rPr>
        <w:t xml:space="preserve">                                                                                    </w:t>
      </w:r>
      <w:r w:rsidRPr="00EB7EEB">
        <w:t>)</w:t>
      </w:r>
    </w:p>
    <w:p w14:paraId="207D1509"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9CB80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E4EA5EF" w14:textId="7A900252" w:rsidR="00184629" w:rsidRPr="0003049C" w:rsidRDefault="00184629" w:rsidP="000C7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rPr>
      </w:pPr>
      <w:r w:rsidRPr="00EB7EEB">
        <w:rPr>
          <w:b/>
        </w:rPr>
        <w:t xml:space="preserve">STATUTORY MOTION TO RECONSIDER AND </w:t>
      </w:r>
      <w:r w:rsidR="008A6049">
        <w:rPr>
          <w:b/>
        </w:rPr>
        <w:t>[REOPEN] [</w:t>
      </w:r>
      <w:r w:rsidRPr="00EB7EEB">
        <w:rPr>
          <w:b/>
        </w:rPr>
        <w:t>TERMINATE</w:t>
      </w:r>
      <w:r w:rsidR="008A6049">
        <w:rPr>
          <w:b/>
        </w:rPr>
        <w:t>]</w:t>
      </w:r>
      <w:r w:rsidR="00F303EA">
        <w:rPr>
          <w:b/>
        </w:rPr>
        <w:t xml:space="preserve"> R</w:t>
      </w:r>
      <w:r w:rsidR="000C77FB">
        <w:rPr>
          <w:b/>
        </w:rPr>
        <w:t xml:space="preserve">EMOVAL PROCEEDINGS </w:t>
      </w:r>
      <w:r w:rsidRPr="00EB7EEB">
        <w:rPr>
          <w:b/>
        </w:rPr>
        <w:t xml:space="preserve">IN LIGHT OF </w:t>
      </w:r>
      <w:r w:rsidR="004F5EDB">
        <w:rPr>
          <w:b/>
          <w:i/>
        </w:rPr>
        <w:t>UNITED STATES V. GIBSON</w:t>
      </w:r>
      <w:r w:rsidR="00BC3F79">
        <w:rPr>
          <w:b/>
          <w:iCs/>
        </w:rPr>
        <w:t>,</w:t>
      </w:r>
      <w:r w:rsidR="00157E03">
        <w:rPr>
          <w:b/>
          <w:iCs/>
        </w:rPr>
        <w:t xml:space="preserve"> AND IN THE ALTERNATIVE </w:t>
      </w:r>
      <w:r w:rsidR="00D458A7">
        <w:rPr>
          <w:b/>
          <w:i/>
        </w:rPr>
        <w:t xml:space="preserve">SUA SPONTE </w:t>
      </w:r>
      <w:r w:rsidR="00D458A7">
        <w:rPr>
          <w:b/>
          <w:iCs/>
        </w:rPr>
        <w:t>MOTION TO RECONSIDER AND [REOPEN] [TERMINATE</w:t>
      </w:r>
      <w:r w:rsidR="000C77FB">
        <w:rPr>
          <w:b/>
          <w:iCs/>
        </w:rPr>
        <w:t>] REMOVAL PROCEEDINGS</w:t>
      </w:r>
      <w:r w:rsidR="00D458A7">
        <w:rPr>
          <w:b/>
          <w:iCs/>
        </w:rPr>
        <w:t xml:space="preserve"> IN LIGHT OF </w:t>
      </w:r>
      <w:r w:rsidR="00D458A7">
        <w:rPr>
          <w:b/>
          <w:i/>
        </w:rPr>
        <w:t>UNITED STATES V. GIBSON</w:t>
      </w:r>
    </w:p>
    <w:p w14:paraId="0A40A3FC"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CDFAC12" w14:textId="168C09E7"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EB7EEB">
        <w:rPr>
          <w:b/>
          <w:u w:val="single"/>
        </w:rPr>
        <w:t>INTRODUCTION</w:t>
      </w:r>
    </w:p>
    <w:p w14:paraId="5BD9313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04BDB8A" w14:textId="1CE154D5" w:rsidR="00C56DF3" w:rsidRPr="00EB7EEB" w:rsidRDefault="00184629" w:rsidP="0003049C">
      <w:pPr>
        <w:spacing w:line="480" w:lineRule="auto"/>
        <w:ind w:firstLine="720"/>
      </w:pPr>
      <w:r>
        <w:t xml:space="preserve">Pursuant to § 240(c)(6) of the Immigration and Nationality Act (“INA”), Respondent, </w:t>
      </w:r>
      <w:r w:rsidR="004F5EDB">
        <w:t>X</w:t>
      </w:r>
      <w:r>
        <w:t xml:space="preserve">, </w:t>
      </w:r>
      <w:r w:rsidR="004F5EDB">
        <w:t xml:space="preserve">(hereinafter “Mr. X), </w:t>
      </w:r>
      <w:r>
        <w:t xml:space="preserve">hereby seeks reconsideration in light of the U.S. Court of Appeals for the Second Circuit’s </w:t>
      </w:r>
      <w:r w:rsidR="00821806">
        <w:t xml:space="preserve">precedent </w:t>
      </w:r>
      <w:r>
        <w:t xml:space="preserve">decision in </w:t>
      </w:r>
      <w:r w:rsidR="0089349E" w:rsidRPr="18D99517">
        <w:rPr>
          <w:i/>
          <w:iCs/>
        </w:rPr>
        <w:t>United States v. Gibson</w:t>
      </w:r>
      <w:r w:rsidR="0089349E">
        <w:t xml:space="preserve">, </w:t>
      </w:r>
      <w:r w:rsidR="16B518FD">
        <w:t>No. 20-3049, 2023 WL 2125248</w:t>
      </w:r>
      <w:r w:rsidR="0089349E">
        <w:t xml:space="preserve"> (2d Cir. </w:t>
      </w:r>
      <w:r w:rsidR="42AA6D24">
        <w:t>Feb. 21, 2023</w:t>
      </w:r>
      <w:r w:rsidR="0089349E">
        <w:t>)</w:t>
      </w:r>
      <w:r w:rsidR="00793346">
        <w:t xml:space="preserve">, holding that </w:t>
      </w:r>
      <w:r w:rsidR="009F03B4">
        <w:t xml:space="preserve">New York “narcotic” offenses are categorically </w:t>
      </w:r>
      <w:r w:rsidR="00411CDA">
        <w:t xml:space="preserve">broader than </w:t>
      </w:r>
      <w:r w:rsidR="00C5607C">
        <w:t xml:space="preserve">the </w:t>
      </w:r>
      <w:r w:rsidR="003466E7">
        <w:t>federal controlled substance schedules</w:t>
      </w:r>
      <w:r>
        <w:t>.</w:t>
      </w:r>
      <w:r w:rsidR="001E0CCB">
        <w:t xml:space="preserve"> As a result, New York narcotic convictions such as Mr. X’s are </w:t>
      </w:r>
      <w:r w:rsidR="00F97974">
        <w:t>overbroad and indivi</w:t>
      </w:r>
      <w:r w:rsidR="00FA64B5">
        <w:t>sible and ca</w:t>
      </w:r>
      <w:r w:rsidR="00261062">
        <w:t xml:space="preserve">tegorically not </w:t>
      </w:r>
      <w:r w:rsidR="00383215">
        <w:t>aggravated felonies under INA § 101(a)(43)(B) or offenses relating to controlled substances under INA § 237(a)(2)(B)(i).</w:t>
      </w:r>
      <w:r w:rsidR="005D36F9">
        <w:t xml:space="preserve"> This Board issued a final order of removal against </w:t>
      </w:r>
      <w:r w:rsidR="001B5634">
        <w:t xml:space="preserve">Mr. X, </w:t>
      </w:r>
      <w:r w:rsidR="005D36F9">
        <w:t>previously a lawful permanent resident, after finding his conviction under N.Y. Penal Law</w:t>
      </w:r>
      <w:r w:rsidR="001B5634">
        <w:t xml:space="preserve"> </w:t>
      </w:r>
      <w:r w:rsidR="005D36F9">
        <w:t xml:space="preserve">§ </w:t>
      </w:r>
      <w:r w:rsidR="001B5634">
        <w:t>[statute</w:t>
      </w:r>
      <w:r w:rsidR="001737F0">
        <w:t xml:space="preserve"> with subsection</w:t>
      </w:r>
      <w:r w:rsidR="001B5634">
        <w:t>]</w:t>
      </w:r>
      <w:r w:rsidR="005D36F9">
        <w:t xml:space="preserve">, </w:t>
      </w:r>
      <w:r w:rsidR="001B5634">
        <w:t>[name of statute]</w:t>
      </w:r>
      <w:r w:rsidR="00782FB7">
        <w:t>,</w:t>
      </w:r>
      <w:r w:rsidR="005D36F9">
        <w:t xml:space="preserve"> was categorically </w:t>
      </w:r>
      <w:r w:rsidR="001B5634">
        <w:t xml:space="preserve">[an </w:t>
      </w:r>
      <w:r w:rsidR="00EA0741">
        <w:t>“</w:t>
      </w:r>
      <w:r w:rsidR="005D36F9">
        <w:t>aggravated felony</w:t>
      </w:r>
      <w:r w:rsidR="00EA0741">
        <w:t>” under INA § 101(a)(43)(B) and § 237(a)(2)(A)(iii)</w:t>
      </w:r>
      <w:r w:rsidR="001B5634">
        <w:t>] [a “controlled substance offense” under INA § 237(a)(2)(B)(i)]</w:t>
      </w:r>
      <w:r w:rsidR="00A30E9F">
        <w:t xml:space="preserve"> and otherwise upholding his order </w:t>
      </w:r>
      <w:r w:rsidR="00A30E9F">
        <w:lastRenderedPageBreak/>
        <w:t>of removal.</w:t>
      </w:r>
      <w:r w:rsidR="005D36F9">
        <w:t xml:space="preserve"> The Second Circuit, under whose jurisdiction Mr. </w:t>
      </w:r>
      <w:r w:rsidR="001B5634">
        <w:t>X</w:t>
      </w:r>
      <w:r w:rsidR="005D36F9">
        <w:t>’</w:t>
      </w:r>
      <w:r w:rsidR="001B5634">
        <w:t>s</w:t>
      </w:r>
      <w:r w:rsidR="005D36F9">
        <w:t xml:space="preserve"> removal proceedings arise, has now</w:t>
      </w:r>
      <w:r w:rsidR="00EA0741">
        <w:t xml:space="preserve"> held </w:t>
      </w:r>
      <w:r w:rsidR="005D36F9">
        <w:t xml:space="preserve">that </w:t>
      </w:r>
      <w:r w:rsidR="00D65F03">
        <w:t xml:space="preserve">New York </w:t>
      </w:r>
      <w:r w:rsidR="0058616B" w:rsidRPr="0058616B">
        <w:t>narcotic convictions are categorically broader than federal controlled substance schedules</w:t>
      </w:r>
      <w:r w:rsidR="00D65F03">
        <w:t xml:space="preserve"> </w:t>
      </w:r>
      <w:r w:rsidR="00D65F03" w:rsidRPr="0058616B">
        <w:t xml:space="preserve">following January 23, 2015 </w:t>
      </w:r>
      <w:r w:rsidR="009E1652">
        <w:t>removal of naloxegol</w:t>
      </w:r>
      <w:r w:rsidR="000D3F15">
        <w:t>, an opiate derivative,</w:t>
      </w:r>
      <w:r w:rsidR="009E1652">
        <w:t xml:space="preserve"> from the federal schedule</w:t>
      </w:r>
      <w:r w:rsidR="00690F59">
        <w:t>.</w:t>
      </w:r>
      <w:r w:rsidR="009E1652">
        <w:t xml:space="preserve"> Mr. X’s conviction postdates the removal of naloxegol from the federal schedule.</w:t>
      </w:r>
      <w:r w:rsidR="00690F59">
        <w:t xml:space="preserve"> </w:t>
      </w:r>
      <w:r w:rsidR="006B5615" w:rsidRPr="18D99517">
        <w:rPr>
          <w:i/>
          <w:iCs/>
        </w:rPr>
        <w:t>See</w:t>
      </w:r>
      <w:r w:rsidR="006B5615">
        <w:t xml:space="preserve"> </w:t>
      </w:r>
      <w:r w:rsidR="00C56DF3">
        <w:t>[citation for certificate of disposition and date of conviction]; 80 Fed. Reg. 3468, 3469, 2015 WL 273535 (F.R.) (Jan. 23. 2015) (reflecting removal of naloxegol from the federal schedule on January 23, 2015.</w:t>
      </w:r>
      <w:r w:rsidR="006F2D60">
        <w:t xml:space="preserve"> </w:t>
      </w:r>
      <w:r w:rsidR="006F2D60">
        <w:rPr>
          <w:i/>
          <w:iCs/>
        </w:rPr>
        <w:t>Gibson</w:t>
      </w:r>
      <w:r w:rsidR="006F2D60">
        <w:t xml:space="preserve"> makes clear that the Board’s decision in Mr. X’s case was a legal error.</w:t>
      </w:r>
    </w:p>
    <w:p w14:paraId="17B22C73" w14:textId="5D32F108" w:rsidR="00184629" w:rsidRPr="00EF1ABB" w:rsidRDefault="006B5615" w:rsidP="004F5EDB">
      <w:pPr>
        <w:widowControl w:val="0"/>
        <w:spacing w:line="480" w:lineRule="auto"/>
        <w:ind w:firstLine="720"/>
      </w:pPr>
      <w:r>
        <w:t xml:space="preserve"> </w:t>
      </w:r>
      <w:r w:rsidR="00EF1ABB">
        <w:t>Accordingly,</w:t>
      </w:r>
      <w:r w:rsidR="00690F59">
        <w:t xml:space="preserve"> [statute] is an overbroad, indivisible offense that does not trigger the removal ground charged in Mr. X’s proceedings. The </w:t>
      </w:r>
      <w:r w:rsidR="00184629" w:rsidRPr="00EB7EEB">
        <w:t xml:space="preserve">Board </w:t>
      </w:r>
      <w:r w:rsidR="006F2D60">
        <w:t>must</w:t>
      </w:r>
      <w:r w:rsidR="006F2D60" w:rsidRPr="00EB7EEB">
        <w:t xml:space="preserve"> </w:t>
      </w:r>
      <w:r w:rsidR="00184629" w:rsidRPr="00EB7EEB">
        <w:t xml:space="preserve">reconsider its decision and </w:t>
      </w:r>
      <w:r w:rsidR="00471DDD">
        <w:t>[reopen] [</w:t>
      </w:r>
      <w:r w:rsidR="00184629" w:rsidRPr="00EB7EEB">
        <w:t>terminate</w:t>
      </w:r>
      <w:r w:rsidR="00471DDD">
        <w:t>] the</w:t>
      </w:r>
      <w:r w:rsidR="00184629" w:rsidRPr="00EB7EEB">
        <w:t xml:space="preserve"> removal proceedings against Mr. </w:t>
      </w:r>
      <w:r w:rsidR="00690F59">
        <w:t>X</w:t>
      </w:r>
      <w:r w:rsidR="00184629" w:rsidRPr="00EB7EEB">
        <w:t xml:space="preserve">. </w:t>
      </w:r>
      <w:r w:rsidR="00EF1ABB">
        <w:t>Th</w:t>
      </w:r>
      <w:r w:rsidR="00EA0741">
        <w:t>e Board should consider this a timely filed</w:t>
      </w:r>
      <w:r w:rsidR="00EF1ABB">
        <w:t xml:space="preserve"> statutory motion to reconsider</w:t>
      </w:r>
      <w:r w:rsidR="009D2AD1">
        <w:t xml:space="preserve"> because </w:t>
      </w:r>
      <w:r w:rsidR="004257F8">
        <w:t xml:space="preserve">the Second Circuit’s decision in </w:t>
      </w:r>
      <w:r w:rsidR="004257F8">
        <w:rPr>
          <w:i/>
          <w:iCs/>
        </w:rPr>
        <w:t>Gibson</w:t>
      </w:r>
      <w:r w:rsidR="004257F8">
        <w:t xml:space="preserve"> is an extraordinary circumstance and because he has acted diligently in moving for reconsideration since learning of the </w:t>
      </w:r>
      <w:r w:rsidR="004257F8">
        <w:rPr>
          <w:i/>
          <w:iCs/>
        </w:rPr>
        <w:t>Gibson</w:t>
      </w:r>
      <w:r w:rsidR="004257F8">
        <w:t xml:space="preserve"> decision</w:t>
      </w:r>
      <w:r w:rsidR="00EF1ABB">
        <w:t>.</w:t>
      </w:r>
      <w:r w:rsidR="00B227B6">
        <w:t xml:space="preserve"> In the alternative, the Board should re</w:t>
      </w:r>
      <w:r w:rsidR="007E4FE0">
        <w:t xml:space="preserve">consider the decision under sua sponte. </w:t>
      </w:r>
    </w:p>
    <w:p w14:paraId="295FEC01" w14:textId="496637B1" w:rsidR="00184629" w:rsidRPr="00EB7EEB" w:rsidRDefault="00184629" w:rsidP="00184629">
      <w:pPr>
        <w:widowControl w:val="0"/>
        <w:spacing w:line="480" w:lineRule="auto"/>
        <w:jc w:val="center"/>
      </w:pPr>
      <w:r w:rsidRPr="00EB7EEB">
        <w:rPr>
          <w:b/>
          <w:u w:val="single"/>
        </w:rPr>
        <w:t>STATEMENT OF FACTS AND STATEMENT OF THE CASE</w:t>
      </w:r>
    </w:p>
    <w:p w14:paraId="508449F8" w14:textId="15B16B76" w:rsidR="00184629" w:rsidRPr="00EB7EEB" w:rsidRDefault="00991F2D" w:rsidP="001737F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[Facts regarding respondent’s immigration status, dates of removal proceedings and order of removal, date and statute of conviction, </w:t>
      </w:r>
      <w:r w:rsidR="007F17CB">
        <w:t xml:space="preserve">prior briefing re: narcotics overbreadth, </w:t>
      </w:r>
      <w:r>
        <w:t xml:space="preserve">etc.] </w:t>
      </w:r>
    </w:p>
    <w:p w14:paraId="7E168A6E" w14:textId="7E9A91C7" w:rsidR="00184629" w:rsidRPr="00EB7EEB" w:rsidRDefault="00184629"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u w:val="single"/>
        </w:rPr>
      </w:pPr>
      <w:r w:rsidRPr="00EB7EEB">
        <w:rPr>
          <w:b/>
          <w:u w:val="single"/>
        </w:rPr>
        <w:t>STANDARD FOR RECONSIDERATION</w:t>
      </w:r>
    </w:p>
    <w:p w14:paraId="41C987E9" w14:textId="77777777"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 xml:space="preserve">A motion to reconsider shall specify the errors of law or fact in the previous order and shall be supported by pertinent authority.  INA § 240(c)(6)(C); 8 C.F.R. § 1003.3(b)(1).  In general, a respondent may file one motion to reconsider within 30 days of the date of a final removal order.  INA § 240(c)(6)(A)&amp;(B), 8 C.F.R. § 1003.2(b)(2).   </w:t>
      </w:r>
    </w:p>
    <w:p w14:paraId="28CE4F3D" w14:textId="24BBFD6D" w:rsidR="00B83355" w:rsidRDefault="00184629" w:rsidP="00B83355">
      <w:pPr>
        <w:spacing w:line="480" w:lineRule="auto"/>
        <w:ind w:firstLine="720"/>
      </w:pPr>
      <w:r w:rsidRPr="00EB7EEB">
        <w:lastRenderedPageBreak/>
        <w:t xml:space="preserve">The Board issued its decision in Respondent’s case on </w:t>
      </w:r>
      <w:r w:rsidR="001737F0">
        <w:t>[date]</w:t>
      </w:r>
      <w:r w:rsidRPr="00EB7EEB">
        <w:t xml:space="preserve">. The Board should treat the instant motion as a timely filed statutory motion to reconsider because Respondent merits equitable tolling of the time and numeric limitations.  </w:t>
      </w:r>
      <w:r w:rsidRPr="00EB7EEB">
        <w:rPr>
          <w:i/>
        </w:rPr>
        <w:t>See</w:t>
      </w:r>
      <w:r w:rsidR="00121A01">
        <w:rPr>
          <w:i/>
        </w:rPr>
        <w:t xml:space="preserve"> infra</w:t>
      </w:r>
      <w:r w:rsidRPr="00EB7EEB">
        <w:rPr>
          <w:i/>
        </w:rPr>
        <w:t xml:space="preserve"> </w:t>
      </w:r>
      <w:r w:rsidRPr="00EB7EEB">
        <w:t xml:space="preserve">§ </w:t>
      </w:r>
      <w:r w:rsidR="001737F0">
        <w:t>X</w:t>
      </w:r>
      <w:r w:rsidRPr="00EB7EEB">
        <w:t xml:space="preserve"> </w:t>
      </w:r>
      <w:r w:rsidRPr="00EB7EEB">
        <w:rPr>
          <w:i/>
        </w:rPr>
        <w:t xml:space="preserve">see also </w:t>
      </w:r>
      <w:r w:rsidRPr="00EB7EEB">
        <w:t xml:space="preserve">8 C.F.R. § 1003.1(d)(1)(ii) (“a panel or Board member to whom a case is assigned may take any action consistent with their authorities under the Act and the regulations as is appropriate and necessary for the disposition of the case.”). </w:t>
      </w:r>
    </w:p>
    <w:p w14:paraId="3A91A411" w14:textId="66D4CBA0" w:rsidR="00184629" w:rsidRPr="00EB7EEB" w:rsidRDefault="001737F0" w:rsidP="00B83355">
      <w:pPr>
        <w:spacing w:line="480" w:lineRule="auto"/>
        <w:ind w:firstLine="720"/>
      </w:pPr>
      <w:r>
        <w:t>[</w:t>
      </w:r>
      <w:r w:rsidR="00184629" w:rsidRPr="00EB7EEB">
        <w:t>Further, the instant motion is not barred pursuant to the regulatory departure bar</w:t>
      </w:r>
      <w:r w:rsidR="00F24284">
        <w:t xml:space="preserve"> because the Second Circuit has held</w:t>
      </w:r>
      <w:r w:rsidR="00D1183F">
        <w:t xml:space="preserve"> that</w:t>
      </w:r>
      <w:r w:rsidR="00F24284">
        <w:t xml:space="preserve"> the departure bar </w:t>
      </w:r>
      <w:r w:rsidR="00D1183F">
        <w:t xml:space="preserve">is </w:t>
      </w:r>
      <w:r w:rsidR="00F24284">
        <w:t>invalid for statutory motions</w:t>
      </w:r>
      <w:r w:rsidR="00184629" w:rsidRPr="00EB7EEB">
        <w:t xml:space="preserve">. 8 C.F.R. § 1003.2(d); </w:t>
      </w:r>
      <w:r w:rsidR="00184629" w:rsidRPr="00EB7EEB">
        <w:rPr>
          <w:i/>
        </w:rPr>
        <w:t>see</w:t>
      </w:r>
      <w:r w:rsidR="00121A01">
        <w:rPr>
          <w:i/>
        </w:rPr>
        <w:t xml:space="preserve"> infra</w:t>
      </w:r>
      <w:r w:rsidR="00184629" w:rsidRPr="00EB7EEB">
        <w:rPr>
          <w:i/>
        </w:rPr>
        <w:t xml:space="preserve"> </w:t>
      </w:r>
      <w:r w:rsidR="00184629" w:rsidRPr="00EB7EEB">
        <w:t xml:space="preserve">§ </w:t>
      </w:r>
      <w:r>
        <w:t>X.]</w:t>
      </w:r>
      <w:r w:rsidR="00184629" w:rsidRPr="00EB7EEB">
        <w:rPr>
          <w:i/>
        </w:rPr>
        <w:t xml:space="preserve"> </w:t>
      </w:r>
    </w:p>
    <w:p w14:paraId="004FEA22" w14:textId="21178471"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EB7EEB">
        <w:rPr>
          <w:b/>
          <w:u w:val="single"/>
        </w:rPr>
        <w:t>ARGUMENT</w:t>
      </w:r>
    </w:p>
    <w:p w14:paraId="14D5D88C" w14:textId="5DE33E5C" w:rsidR="00184629" w:rsidRPr="00EB7EEB" w:rsidRDefault="00A5608F" w:rsidP="00AE5C85">
      <w:pPr>
        <w:pStyle w:val="ListParagraph"/>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The Second Circuit Held in </w:t>
      </w:r>
      <w:r w:rsidR="001737F0">
        <w:rPr>
          <w:b/>
          <w:i/>
        </w:rPr>
        <w:t>Gibson</w:t>
      </w:r>
      <w:r>
        <w:rPr>
          <w:b/>
        </w:rPr>
        <w:t xml:space="preserve"> That</w:t>
      </w:r>
      <w:r w:rsidR="000F7643">
        <w:rPr>
          <w:b/>
        </w:rPr>
        <w:t>,</w:t>
      </w:r>
      <w:r>
        <w:rPr>
          <w:b/>
        </w:rPr>
        <w:t xml:space="preserve"> a</w:t>
      </w:r>
      <w:r w:rsidR="00184629" w:rsidRPr="00A5608F">
        <w:rPr>
          <w:b/>
        </w:rPr>
        <w:t>s</w:t>
      </w:r>
      <w:r w:rsidR="00184629" w:rsidRPr="00EB7EEB">
        <w:rPr>
          <w:b/>
        </w:rPr>
        <w:t xml:space="preserve"> a Matter of Law, </w:t>
      </w:r>
      <w:r w:rsidR="001737F0">
        <w:rPr>
          <w:b/>
        </w:rPr>
        <w:t xml:space="preserve">New York’s </w:t>
      </w:r>
      <w:r w:rsidR="00DA062D">
        <w:rPr>
          <w:b/>
        </w:rPr>
        <w:t>D</w:t>
      </w:r>
      <w:r w:rsidR="001737F0">
        <w:rPr>
          <w:b/>
        </w:rPr>
        <w:t xml:space="preserve">efinition of </w:t>
      </w:r>
      <w:r w:rsidR="00DA062D">
        <w:rPr>
          <w:b/>
        </w:rPr>
        <w:t>Narcotic Is</w:t>
      </w:r>
      <w:r w:rsidR="001737F0">
        <w:rPr>
          <w:b/>
        </w:rPr>
        <w:t xml:space="preserve"> </w:t>
      </w:r>
      <w:r w:rsidR="00471DDD">
        <w:rPr>
          <w:b/>
        </w:rPr>
        <w:t>O</w:t>
      </w:r>
      <w:r w:rsidR="001737F0">
        <w:rPr>
          <w:b/>
        </w:rPr>
        <w:t xml:space="preserve">verbroad as to the </w:t>
      </w:r>
      <w:r w:rsidR="00DA062D">
        <w:rPr>
          <w:b/>
        </w:rPr>
        <w:t>F</w:t>
      </w:r>
      <w:r w:rsidR="001737F0">
        <w:rPr>
          <w:b/>
        </w:rPr>
        <w:t xml:space="preserve">ederal </w:t>
      </w:r>
      <w:r w:rsidR="00DA062D">
        <w:rPr>
          <w:b/>
        </w:rPr>
        <w:t>C</w:t>
      </w:r>
      <w:r w:rsidR="001737F0">
        <w:rPr>
          <w:b/>
        </w:rPr>
        <w:t xml:space="preserve">ontrolled </w:t>
      </w:r>
      <w:r w:rsidR="00DA062D">
        <w:rPr>
          <w:b/>
        </w:rPr>
        <w:t>S</w:t>
      </w:r>
      <w:r w:rsidR="001737F0">
        <w:rPr>
          <w:b/>
        </w:rPr>
        <w:t xml:space="preserve">ubstance </w:t>
      </w:r>
      <w:r w:rsidR="00DA062D">
        <w:rPr>
          <w:b/>
        </w:rPr>
        <w:t>S</w:t>
      </w:r>
      <w:r w:rsidR="001737F0">
        <w:rPr>
          <w:b/>
        </w:rPr>
        <w:t xml:space="preserve">chedule as of </w:t>
      </w:r>
      <w:r w:rsidR="00552326">
        <w:rPr>
          <w:b/>
        </w:rPr>
        <w:t>January 23,</w:t>
      </w:r>
      <w:r w:rsidR="00DA062D">
        <w:rPr>
          <w:b/>
        </w:rPr>
        <w:t xml:space="preserve"> </w:t>
      </w:r>
      <w:r w:rsidR="009E1652">
        <w:rPr>
          <w:b/>
        </w:rPr>
        <w:t>2015</w:t>
      </w:r>
      <w:r w:rsidR="005610B5">
        <w:rPr>
          <w:b/>
        </w:rPr>
        <w:t>, Making Mr. X Clearly [Not Removable] [Eligible for Relief]</w:t>
      </w:r>
    </w:p>
    <w:p w14:paraId="6AE11D31" w14:textId="2DDB2215" w:rsidR="00184629"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0DFCD39" w14:textId="1F92C04B" w:rsidR="00BC6110" w:rsidRDefault="003A4B3B" w:rsidP="002B1F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On February 21, 2023, the Second Circuit issued a precedential opinion</w:t>
      </w:r>
      <w:r w:rsidR="00143FB0">
        <w:t xml:space="preserve"> </w:t>
      </w:r>
      <w:r w:rsidR="00CF5EE1">
        <w:t>holding that</w:t>
      </w:r>
      <w:r w:rsidR="000937C3">
        <w:t xml:space="preserve"> a conviction under </w:t>
      </w:r>
      <w:r w:rsidR="009C23F5" w:rsidRPr="372270E2">
        <w:t>N.Y.P.L. §§ 110-220.39(1) for attempted criminal sale of a controlled substance in the third degree</w:t>
      </w:r>
      <w:r w:rsidR="009C23F5">
        <w:t>—which exclusively covers New York narcotic drugs—</w:t>
      </w:r>
      <w:r w:rsidR="009C23F5" w:rsidRPr="009C23F5">
        <w:t xml:space="preserve"> </w:t>
      </w:r>
      <w:r w:rsidR="009C23F5">
        <w:t>i</w:t>
      </w:r>
      <w:r w:rsidR="009C23F5" w:rsidRPr="372270E2">
        <w:t xml:space="preserve">s not a proper predicate </w:t>
      </w:r>
      <w:r w:rsidR="00CE5A29">
        <w:t xml:space="preserve">controlled substance </w:t>
      </w:r>
      <w:r w:rsidR="009C23F5" w:rsidRPr="372270E2">
        <w:t xml:space="preserve">offense </w:t>
      </w:r>
      <w:r w:rsidR="00CE5A29">
        <w:t>under</w:t>
      </w:r>
      <w:r w:rsidR="009C23F5" w:rsidRPr="372270E2">
        <w:t xml:space="preserve"> § 4B1.1</w:t>
      </w:r>
      <w:r w:rsidR="009C23F5">
        <w:rPr>
          <w:bCs/>
        </w:rPr>
        <w:t xml:space="preserve"> </w:t>
      </w:r>
      <w:r w:rsidR="009C23F5" w:rsidRPr="372270E2">
        <w:t>of the advisory Sentencing Guidelines</w:t>
      </w:r>
      <w:r w:rsidR="00075DFC">
        <w:t xml:space="preserve">, because the January 23, </w:t>
      </w:r>
      <w:r w:rsidR="00BC6110" w:rsidRPr="00BC6110">
        <w:t xml:space="preserve">2015 removal of naloxegol from the federal controlled substances schedules </w:t>
      </w:r>
      <w:r w:rsidR="00075DFC">
        <w:t>“</w:t>
      </w:r>
      <w:r w:rsidR="00BC6110" w:rsidRPr="00BC6110">
        <w:t>rendered those schedules categorically narrower than the New York drug schedules</w:t>
      </w:r>
      <w:r w:rsidR="00D92178">
        <w:t xml:space="preserve">.” </w:t>
      </w:r>
      <w:r w:rsidR="005D191A" w:rsidRPr="18D99517">
        <w:rPr>
          <w:i/>
          <w:iCs/>
        </w:rPr>
        <w:t>United States v. Gibson</w:t>
      </w:r>
      <w:r w:rsidR="005D191A">
        <w:t>, No. 20-3049, 2023 WL 2125248, *</w:t>
      </w:r>
      <w:r w:rsidR="00701F68">
        <w:t>1</w:t>
      </w:r>
      <w:r w:rsidR="005D191A">
        <w:t xml:space="preserve"> (2d Cir. Feb. 21, 2023).</w:t>
      </w:r>
      <w:r w:rsidR="00701F68">
        <w:t xml:space="preserve"> The decision granted a government petition for rehearing </w:t>
      </w:r>
      <w:r w:rsidR="00C2693E">
        <w:t xml:space="preserve">after a prior decision in the </w:t>
      </w:r>
      <w:r w:rsidR="007C0012">
        <w:t>case but</w:t>
      </w:r>
      <w:r w:rsidR="00701F68">
        <w:t xml:space="preserve"> denied the request for an </w:t>
      </w:r>
      <w:r w:rsidR="00A57925">
        <w:t>amended opinion.</w:t>
      </w:r>
      <w:r w:rsidR="002B1FAB">
        <w:t xml:space="preserve"> </w:t>
      </w:r>
      <w:r w:rsidR="00701F68">
        <w:t>In so doing</w:t>
      </w:r>
      <w:r w:rsidR="00701F68" w:rsidRPr="18D99517">
        <w:rPr>
          <w:b/>
          <w:bCs/>
        </w:rPr>
        <w:t xml:space="preserve">, </w:t>
      </w:r>
      <w:r w:rsidR="00701F68">
        <w:t xml:space="preserve">the Second Circuit made clear that its ruling that the January 23, 2015 exclusion of naloxegol from the federal schedules made the </w:t>
      </w:r>
      <w:r w:rsidR="00701F68">
        <w:lastRenderedPageBreak/>
        <w:t xml:space="preserve">New York drug schedules categorically broader as to this substance </w:t>
      </w:r>
      <w:r w:rsidR="003A2311">
        <w:t>is</w:t>
      </w:r>
      <w:r w:rsidR="00701F68">
        <w:t xml:space="preserve"> a </w:t>
      </w:r>
      <w:r w:rsidR="003A2311">
        <w:t xml:space="preserve">precedential circuit </w:t>
      </w:r>
      <w:r w:rsidR="00701F68">
        <w:t>holding.</w:t>
      </w:r>
    </w:p>
    <w:p w14:paraId="02830BCE" w14:textId="10ADA440" w:rsidR="00932027" w:rsidRDefault="009001A0" w:rsidP="00DE50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In the prior decision on</w:t>
      </w:r>
      <w:r w:rsidR="00932027" w:rsidRPr="372270E2">
        <w:t xml:space="preserve"> December 6, 2022, the Second Circuit </w:t>
      </w:r>
      <w:r w:rsidR="00DE5056">
        <w:t>stated that</w:t>
      </w:r>
      <w:r w:rsidR="00932027" w:rsidRPr="372270E2">
        <w:t xml:space="preserve"> </w:t>
      </w:r>
      <w:r w:rsidR="00932027">
        <w:rPr>
          <w:bCs/>
        </w:rPr>
        <w:t>“</w:t>
      </w:r>
      <w:r w:rsidR="00932027" w:rsidRPr="372270E2">
        <w:t>the New York schedule was broader than the</w:t>
      </w:r>
      <w:r w:rsidR="00932027">
        <w:rPr>
          <w:bCs/>
        </w:rPr>
        <w:t xml:space="preserve"> </w:t>
      </w:r>
      <w:r w:rsidR="00932027" w:rsidRPr="372270E2">
        <w:t>[federal] schedules” at the relevant time of comparison</w:t>
      </w:r>
      <w:r w:rsidR="00932027">
        <w:rPr>
          <w:bCs/>
        </w:rPr>
        <w:t>.</w:t>
      </w:r>
      <w:r w:rsidR="00932027" w:rsidRPr="372270E2">
        <w:rPr>
          <w:rStyle w:val="FootnoteReference"/>
        </w:rPr>
        <w:footnoteReference w:id="2"/>
      </w:r>
      <w:r w:rsidR="00932027">
        <w:rPr>
          <w:bCs/>
        </w:rPr>
        <w:t xml:space="preserve"> </w:t>
      </w:r>
      <w:r w:rsidR="00A57925" w:rsidRPr="18D99517">
        <w:rPr>
          <w:i/>
          <w:iCs/>
        </w:rPr>
        <w:t>United States v. Gibson</w:t>
      </w:r>
      <w:r w:rsidR="00A57925" w:rsidRPr="00471DDD">
        <w:rPr>
          <w:bCs/>
        </w:rPr>
        <w:t>,</w:t>
      </w:r>
      <w:r w:rsidR="00A57925">
        <w:rPr>
          <w:bCs/>
        </w:rPr>
        <w:t xml:space="preserve"> </w:t>
      </w:r>
      <w:r w:rsidR="00A57925" w:rsidRPr="372270E2">
        <w:t>55 F.4th 153</w:t>
      </w:r>
      <w:r w:rsidR="00A57925">
        <w:t>, 155</w:t>
      </w:r>
      <w:r w:rsidR="00A57925" w:rsidRPr="372270E2">
        <w:t xml:space="preserve"> (2d Cir. 2022)</w:t>
      </w:r>
      <w:r w:rsidR="00A57925">
        <w:t>.</w:t>
      </w:r>
      <w:r w:rsidR="00932027" w:rsidRPr="372270E2">
        <w:t xml:space="preserve"> The conviction was therefore</w:t>
      </w:r>
      <w:r w:rsidR="00932027">
        <w:rPr>
          <w:bCs/>
        </w:rPr>
        <w:t xml:space="preserve"> “</w:t>
      </w:r>
      <w:r w:rsidR="00932027" w:rsidRPr="372270E2">
        <w:t>not a controlled substance offense” under the sentencing guidelines, as the removal of naloxegol made “federal law categorically narrower than the state-law counterpart</w:t>
      </w:r>
      <w:r w:rsidR="00932027">
        <w:rPr>
          <w:bCs/>
        </w:rPr>
        <w:t xml:space="preserve">.” </w:t>
      </w:r>
      <w:r w:rsidR="00932027" w:rsidRPr="18D99517">
        <w:rPr>
          <w:i/>
          <w:iCs/>
        </w:rPr>
        <w:t>Id.</w:t>
      </w:r>
      <w:r w:rsidR="00932027">
        <w:rPr>
          <w:bCs/>
        </w:rPr>
        <w:t xml:space="preserve"> </w:t>
      </w:r>
      <w:r w:rsidR="00932027" w:rsidRPr="372270E2">
        <w:t>at</w:t>
      </w:r>
      <w:r w:rsidR="00932027">
        <w:rPr>
          <w:bCs/>
        </w:rPr>
        <w:t xml:space="preserve"> </w:t>
      </w:r>
      <w:r w:rsidR="00932027" w:rsidRPr="372270E2">
        <w:t xml:space="preserve">155, 167. </w:t>
      </w:r>
      <w:r w:rsidR="00DE5056">
        <w:t>However</w:t>
      </w:r>
      <w:r w:rsidR="00932027">
        <w:t xml:space="preserve">, the court emphasized in its decision that “the government did </w:t>
      </w:r>
      <w:r w:rsidR="00E739FF">
        <w:t>not [</w:t>
      </w:r>
      <w:r w:rsidR="00932027">
        <w:t xml:space="preserve">, in </w:t>
      </w:r>
      <w:r w:rsidR="00932027" w:rsidRPr="18D99517">
        <w:rPr>
          <w:i/>
          <w:iCs/>
        </w:rPr>
        <w:t>Gibson</w:t>
      </w:r>
      <w:r w:rsidR="00932027">
        <w:t xml:space="preserve">,] argue that the New York law was not broader than the current federal schedules,” thereby indicating that the December 6, 2022 decision may not have been a definitive determination as to the overbreadth of the New York Schedule. </w:t>
      </w:r>
      <w:r w:rsidR="00932027" w:rsidRPr="18D99517">
        <w:rPr>
          <w:i/>
          <w:iCs/>
        </w:rPr>
        <w:t>Id.</w:t>
      </w:r>
      <w:r w:rsidR="00932027">
        <w:t xml:space="preserve"> at 158-59. </w:t>
      </w:r>
      <w:r w:rsidR="00932027" w:rsidRPr="18D99517">
        <w:rPr>
          <w:i/>
          <w:iCs/>
        </w:rPr>
        <w:t>Bingham v. United States</w:t>
      </w:r>
      <w:r w:rsidR="00932027">
        <w:t>, 296 U.S. 211, 218 (1935) (“[Q]uestions which merely lurk in the record, neither brought to the attention of the court nor ruled upon, are not to be considered as having been so decided as to constitute precedents.”) (internal citation omitted). As such, the government filed a petition for rehearing in the case</w:t>
      </w:r>
      <w:r w:rsidR="00C90001">
        <w:t>, arguing</w:t>
      </w:r>
      <w:r w:rsidR="00932027">
        <w:t xml:space="preserve"> that the December 6, 2022 </w:t>
      </w:r>
      <w:r w:rsidR="00C90001">
        <w:t>overbreadth</w:t>
      </w:r>
      <w:r w:rsidR="00932027">
        <w:t xml:space="preserve"> was dictum rather than a </w:t>
      </w:r>
      <w:r w:rsidR="00E739FF">
        <w:t>holding and</w:t>
      </w:r>
      <w:r w:rsidR="00932027">
        <w:t xml:space="preserve"> </w:t>
      </w:r>
      <w:r w:rsidR="00C90001">
        <w:t>asking</w:t>
      </w:r>
      <w:r w:rsidR="00932027">
        <w:t xml:space="preserve"> the </w:t>
      </w:r>
      <w:r w:rsidR="00C90001">
        <w:t>c</w:t>
      </w:r>
      <w:r w:rsidR="00932027">
        <w:t xml:space="preserve">ourt to issue an amended opinion so stating. </w:t>
      </w:r>
    </w:p>
    <w:p w14:paraId="4308B04F" w14:textId="772D27E2" w:rsidR="003A4B3B" w:rsidRDefault="007F0508" w:rsidP="003A4B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 xml:space="preserve">In the February 21, 2023 decision denying the request for an amended opinion, the </w:t>
      </w:r>
      <w:r w:rsidR="003A4B3B">
        <w:t>Second Circuit stated:</w:t>
      </w:r>
    </w:p>
    <w:p w14:paraId="3F609826" w14:textId="77777777" w:rsidR="003A4B3B" w:rsidRDefault="003A4B3B" w:rsidP="003A4B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Cs/>
        </w:rPr>
      </w:pPr>
      <w:r w:rsidRPr="00B43480">
        <w:rPr>
          <w:iCs/>
        </w:rPr>
        <w:t>The fact that the government elected not to contest the divergence did not mean that “the issue” did not exist or that the district court was relieved of its normal obligation to</w:t>
      </w:r>
      <w:r>
        <w:rPr>
          <w:iCs/>
        </w:rPr>
        <w:t xml:space="preserve"> </w:t>
      </w:r>
      <w:r w:rsidRPr="00B43480">
        <w:rPr>
          <w:iCs/>
        </w:rPr>
        <w:t>calculate the applicable Guidelines range.</w:t>
      </w:r>
      <w:r>
        <w:rPr>
          <w:iCs/>
        </w:rPr>
        <w:t xml:space="preserve"> </w:t>
      </w:r>
      <w:r w:rsidRPr="00B43480">
        <w:rPr>
          <w:iCs/>
        </w:rPr>
        <w:t>…</w:t>
      </w:r>
    </w:p>
    <w:p w14:paraId="77B9AE49" w14:textId="77777777" w:rsidR="003A4B3B" w:rsidRPr="00B43480" w:rsidRDefault="003A4B3B" w:rsidP="003A4B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Cs/>
        </w:rPr>
      </w:pPr>
    </w:p>
    <w:p w14:paraId="29602779" w14:textId="77777777" w:rsidR="003A4B3B" w:rsidRDefault="003A4B3B" w:rsidP="003A4B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Cs/>
        </w:rPr>
      </w:pPr>
      <w:r w:rsidRPr="00B43480">
        <w:rPr>
          <w:iCs/>
        </w:rPr>
        <w:t>Plainly, the comparability of the New York's 2002 drug schedules and the current federal drug schedules was an issue that the district court was required to, and did, decide in order to make a determination as to what Gibson's Guidelines sentence would be. This Court was required to, and did, determine whether the district court's decision was correct. The government's request for an amended opinion suggesting that these rulings were not holdings is denied.</w:t>
      </w:r>
    </w:p>
    <w:p w14:paraId="68D717A9" w14:textId="77777777" w:rsidR="003A4B3B" w:rsidRDefault="003A4B3B" w:rsidP="003A4B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Cs/>
        </w:rPr>
      </w:pPr>
    </w:p>
    <w:p w14:paraId="2A24060B" w14:textId="6F355E55" w:rsidR="003A4B3B" w:rsidRDefault="00E739FF" w:rsidP="007F05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8D99517">
        <w:rPr>
          <w:i/>
          <w:iCs/>
        </w:rPr>
        <w:t>Gibson</w:t>
      </w:r>
      <w:r>
        <w:t>, No. 20-3049, 2023 WL 2125248</w:t>
      </w:r>
      <w:r w:rsidR="003A4B3B">
        <w:t xml:space="preserve"> at *3. </w:t>
      </w:r>
      <w:r>
        <w:t>This decision</w:t>
      </w:r>
      <w:r w:rsidR="003A4B3B" w:rsidRPr="18D99517">
        <w:t xml:space="preserve"> </w:t>
      </w:r>
      <w:r w:rsidR="00392C50">
        <w:t>holds</w:t>
      </w:r>
      <w:r w:rsidR="003A4B3B" w:rsidRPr="18D99517">
        <w:t xml:space="preserve"> -- now as a matter of clear circuit precedent – that post-January 23, 2015, the New York definition of “narcotic” is in fact broader than the federal definition of “a controlled substance.”</w:t>
      </w:r>
      <w:r w:rsidR="003A4B3B" w:rsidRPr="18D99517">
        <w:rPr>
          <w:rStyle w:val="FootnoteReference"/>
        </w:rPr>
        <w:footnoteReference w:id="3"/>
      </w:r>
    </w:p>
    <w:p w14:paraId="3F6A1F61" w14:textId="0BA148CC" w:rsidR="00471DDD" w:rsidRPr="00AF2CB8" w:rsidRDefault="003E682D" w:rsidP="005D0254">
      <w:pPr>
        <w:spacing w:line="480" w:lineRule="auto"/>
        <w:ind w:firstLine="720"/>
      </w:pPr>
      <w:r w:rsidRPr="009F3C85">
        <w:t>The</w:t>
      </w:r>
      <w:r>
        <w:t xml:space="preserve"> </w:t>
      </w:r>
      <w:r w:rsidRPr="18D99517">
        <w:rPr>
          <w:i/>
          <w:iCs/>
        </w:rPr>
        <w:t>Gibson</w:t>
      </w:r>
      <w:r>
        <w:t xml:space="preserve"> </w:t>
      </w:r>
      <w:r w:rsidR="00107C57">
        <w:t>decision</w:t>
      </w:r>
      <w:r>
        <w:t xml:space="preserve"> </w:t>
      </w:r>
      <w:r w:rsidR="00107C57" w:rsidRPr="00107C57">
        <w:t xml:space="preserve">immediately and necessarily has the same impact on </w:t>
      </w:r>
      <w:r w:rsidR="00107C57">
        <w:t xml:space="preserve">the removal grounds </w:t>
      </w:r>
      <w:r w:rsidR="00755AA3">
        <w:t xml:space="preserve">under </w:t>
      </w:r>
      <w:r w:rsidR="005B275F">
        <w:t xml:space="preserve">INA § 237(a)(2)(A)(iii) and </w:t>
      </w:r>
      <w:r w:rsidR="00755AA3">
        <w:t xml:space="preserve">INA § 101(a)(43)(B) for </w:t>
      </w:r>
      <w:r w:rsidR="00107C57">
        <w:t>drug trafficking aggravated felony</w:t>
      </w:r>
      <w:r w:rsidR="00755AA3">
        <w:t xml:space="preserve"> convictions</w:t>
      </w:r>
      <w:r w:rsidR="00107C57">
        <w:t xml:space="preserve"> and </w:t>
      </w:r>
      <w:r w:rsidR="00755AA3">
        <w:t>INA § 237(a)(2)(B)(i)</w:t>
      </w:r>
      <w:r w:rsidR="005B275F">
        <w:t xml:space="preserve"> </w:t>
      </w:r>
      <w:r w:rsidR="00755AA3">
        <w:t xml:space="preserve">for </w:t>
      </w:r>
      <w:r w:rsidR="00107C57">
        <w:t xml:space="preserve">controlled substance offense </w:t>
      </w:r>
      <w:r w:rsidR="00755AA3">
        <w:t>convictions</w:t>
      </w:r>
      <w:r w:rsidR="00107C57">
        <w:t xml:space="preserve">. </w:t>
      </w:r>
      <w:r>
        <w:t>Just as § 4B1.1 of the advisory Sentencing Guidelines, the INA requires that a drug trafficking aggravated felon</w:t>
      </w:r>
      <w:r w:rsidR="003B6005">
        <w:t>ies and controlled substance offenses</w:t>
      </w:r>
      <w:r>
        <w:t xml:space="preserve"> involve a “controlled substance” as defined at 21 U.S.C. § 802, the federal Controlled Substances Act. </w:t>
      </w:r>
      <w:r w:rsidRPr="18D99517">
        <w:rPr>
          <w:i/>
          <w:iCs/>
        </w:rPr>
        <w:t>See</w:t>
      </w:r>
      <w:r>
        <w:t xml:space="preserve"> INA § 101(a)(43)(B)</w:t>
      </w:r>
      <w:r w:rsidR="009F3C85">
        <w:t>, INA § 237(a)(2)(B)(i)</w:t>
      </w:r>
      <w:r>
        <w:t xml:space="preserve">. </w:t>
      </w:r>
      <w:r w:rsidR="00471DDD">
        <w:t xml:space="preserve">Under </w:t>
      </w:r>
      <w:r w:rsidR="00500A21" w:rsidRPr="18D99517">
        <w:rPr>
          <w:i/>
          <w:iCs/>
        </w:rPr>
        <w:t>Gibson</w:t>
      </w:r>
      <w:r w:rsidR="00471DDD">
        <w:t xml:space="preserve">, </w:t>
      </w:r>
      <w:r w:rsidR="00500A21">
        <w:t>Mr. X’s conviction plainly falls outside both grounds of removability, as it postdates the removal of naloxegol from the federal schedule on January 23, 2015</w:t>
      </w:r>
      <w:r w:rsidR="00471DDD">
        <w:t xml:space="preserve">.  As such, the Board should grant reconsideration and </w:t>
      </w:r>
      <w:r w:rsidR="00510F56">
        <w:t>[</w:t>
      </w:r>
      <w:r w:rsidR="00471DDD">
        <w:t xml:space="preserve">terminate removal proceedings against Mr. X </w:t>
      </w:r>
      <w:r w:rsidR="00510F56">
        <w:t>[</w:t>
      </w:r>
      <w:r w:rsidR="00471DDD">
        <w:t xml:space="preserve">remand to the Immigration Judge for consideration of Mr. X’ application for </w:t>
      </w:r>
      <w:r w:rsidR="00510F56">
        <w:t>X]</w:t>
      </w:r>
      <w:r w:rsidR="00471DDD">
        <w:t>.</w:t>
      </w:r>
    </w:p>
    <w:p w14:paraId="3D37F342" w14:textId="77777777" w:rsidR="00DA062D" w:rsidRDefault="00DA062D" w:rsidP="00DA062D">
      <w:pPr>
        <w:pStyle w:val="ListParagraph"/>
        <w:autoSpaceDE w:val="0"/>
        <w:autoSpaceDN w:val="0"/>
        <w:adjustRightInd w:val="0"/>
        <w:jc w:val="both"/>
        <w:rPr>
          <w:b/>
          <w:iCs/>
        </w:rPr>
      </w:pPr>
    </w:p>
    <w:p w14:paraId="133D9B2C" w14:textId="612401A0" w:rsidR="001737F0" w:rsidRPr="00DA062D" w:rsidRDefault="00DA062D" w:rsidP="00AE5C85">
      <w:pPr>
        <w:pStyle w:val="ListParagraph"/>
        <w:numPr>
          <w:ilvl w:val="0"/>
          <w:numId w:val="10"/>
        </w:numPr>
        <w:autoSpaceDE w:val="0"/>
        <w:autoSpaceDN w:val="0"/>
        <w:adjustRightInd w:val="0"/>
        <w:jc w:val="both"/>
        <w:rPr>
          <w:b/>
          <w:iCs/>
        </w:rPr>
      </w:pPr>
      <w:r>
        <w:rPr>
          <w:b/>
          <w:iCs/>
        </w:rPr>
        <w:lastRenderedPageBreak/>
        <w:t xml:space="preserve">The </w:t>
      </w:r>
      <w:r w:rsidRPr="001737F0">
        <w:rPr>
          <w:b/>
          <w:iCs/>
        </w:rPr>
        <w:t xml:space="preserve">Board Should Treat the Instant Motion as a Timely Filed Statutory Motion because Respondent Merits Equitable Tolling of the Time and Numerical Limitations. </w:t>
      </w:r>
    </w:p>
    <w:p w14:paraId="18A49E32" w14:textId="77777777" w:rsidR="00184629" w:rsidRPr="00EB7EEB" w:rsidRDefault="00184629" w:rsidP="00184629">
      <w:pPr>
        <w:autoSpaceDE w:val="0"/>
        <w:autoSpaceDN w:val="0"/>
        <w:adjustRightInd w:val="0"/>
        <w:jc w:val="both"/>
        <w:rPr>
          <w:iCs/>
        </w:rPr>
      </w:pPr>
    </w:p>
    <w:p w14:paraId="7E559EFB" w14:textId="5DA83E5D" w:rsidR="00184629" w:rsidRPr="00AE5C85" w:rsidRDefault="00184629" w:rsidP="00AE5C85">
      <w:pPr>
        <w:pStyle w:val="ListParagraph"/>
        <w:numPr>
          <w:ilvl w:val="0"/>
          <w:numId w:val="13"/>
        </w:numPr>
        <w:autoSpaceDE w:val="0"/>
        <w:autoSpaceDN w:val="0"/>
        <w:adjustRightInd w:val="0"/>
        <w:ind w:left="1440" w:hanging="720"/>
        <w:jc w:val="both"/>
        <w:rPr>
          <w:b/>
        </w:rPr>
      </w:pPr>
      <w:r w:rsidRPr="00AE5C85">
        <w:rPr>
          <w:b/>
        </w:rPr>
        <w:t>Standard for Equitable Tolling</w:t>
      </w:r>
    </w:p>
    <w:p w14:paraId="35C0F394" w14:textId="77777777" w:rsidR="00184629" w:rsidRPr="00EB7EEB" w:rsidRDefault="00184629" w:rsidP="00184629">
      <w:pPr>
        <w:autoSpaceDE w:val="0"/>
        <w:autoSpaceDN w:val="0"/>
        <w:adjustRightInd w:val="0"/>
        <w:jc w:val="both"/>
        <w:rPr>
          <w:b/>
        </w:rPr>
      </w:pPr>
    </w:p>
    <w:p w14:paraId="464D39ED" w14:textId="7F23FC61"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 xml:space="preserve">A motion to reconsider must be filed within 30 days of entry of a final administrative order of removal, </w:t>
      </w:r>
      <w:r w:rsidR="000F7643">
        <w:rPr>
          <w:i/>
        </w:rPr>
        <w:t xml:space="preserve">see </w:t>
      </w:r>
      <w:r w:rsidRPr="00EB7EEB">
        <w:t xml:space="preserve">INA § 240(c)(6)(B), or, under the doctrine of equitable tolling, as soon as practicable after finding out about an extraordinary circumstance that prevented timely filing.  </w:t>
      </w:r>
    </w:p>
    <w:p w14:paraId="1BB405AD" w14:textId="77777777"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Cs/>
        </w:rPr>
      </w:pPr>
      <w:r w:rsidRPr="00EB7EEB">
        <w:tab/>
        <w:t xml:space="preserve">The Supreme Court concisely and repeatedly has articulated the standard for determining whether an individual is “entitled to equitable tolling.”  </w:t>
      </w:r>
      <w:r w:rsidRPr="00EB7EEB">
        <w:rPr>
          <w:i/>
        </w:rPr>
        <w:t>See</w:t>
      </w:r>
      <w:r w:rsidRPr="00EB7EEB">
        <w:t>,</w:t>
      </w:r>
      <w:r w:rsidRPr="00EB7EEB">
        <w:rPr>
          <w:i/>
        </w:rPr>
        <w:t xml:space="preserve"> e</w:t>
      </w:r>
      <w:r w:rsidRPr="00EB7EEB">
        <w:t>.</w:t>
      </w:r>
      <w:r w:rsidRPr="00EB7EEB">
        <w:rPr>
          <w:i/>
        </w:rPr>
        <w:t>g</w:t>
      </w:r>
      <w:r w:rsidRPr="00EB7EEB">
        <w:t>.,</w:t>
      </w:r>
      <w:r w:rsidRPr="00EB7EEB">
        <w:rPr>
          <w:i/>
        </w:rPr>
        <w:t xml:space="preserve"> </w:t>
      </w:r>
      <w:r w:rsidRPr="00EB7EEB">
        <w:rPr>
          <w:bCs/>
          <w:i/>
        </w:rPr>
        <w:t>Holland v. Florida</w:t>
      </w:r>
      <w:r w:rsidRPr="00EB7EEB">
        <w:rPr>
          <w:bCs/>
        </w:rPr>
        <w:t>,</w:t>
      </w:r>
      <w:r w:rsidRPr="00EB7EEB">
        <w:rPr>
          <w:bCs/>
          <w:i/>
        </w:rPr>
        <w:t xml:space="preserve"> </w:t>
      </w:r>
      <w:r w:rsidRPr="00EB7EEB">
        <w:rPr>
          <w:bCs/>
        </w:rPr>
        <w:t xml:space="preserve">560 U.S. 631, 632 (2010).  Specifically, an individual must show “‘(1) that he has been pursuing his rights diligently, and (2) that some extraordinary circumstance stood in his way and prevented timely filing.”  </w:t>
      </w:r>
      <w:r w:rsidRPr="00EB7EEB">
        <w:rPr>
          <w:bCs/>
          <w:i/>
        </w:rPr>
        <w:t>Id</w:t>
      </w:r>
      <w:r w:rsidRPr="00EB7EEB">
        <w:rPr>
          <w:bCs/>
          <w:i/>
        </w:rPr>
        <w:fldChar w:fldCharType="begin"/>
      </w:r>
      <w:r w:rsidRPr="00EB7EEB">
        <w:instrText xml:space="preserve"> TA \s "Holland v. Florida, 130 S. Ct. 2549 (2010)" </w:instrText>
      </w:r>
      <w:r w:rsidRPr="00EB7EEB">
        <w:rPr>
          <w:bCs/>
          <w:i/>
        </w:rPr>
        <w:fldChar w:fldCharType="end"/>
      </w:r>
      <w:r w:rsidRPr="00EB7EEB">
        <w:rPr>
          <w:bCs/>
          <w:i/>
        </w:rPr>
        <w:t xml:space="preserve">. </w:t>
      </w:r>
      <w:r w:rsidRPr="00EB7EEB">
        <w:rPr>
          <w:bCs/>
        </w:rPr>
        <w:t xml:space="preserve">(quoting </w:t>
      </w:r>
      <w:r w:rsidRPr="00EB7EEB">
        <w:rPr>
          <w:bCs/>
          <w:i/>
          <w:iCs/>
        </w:rPr>
        <w:t>Pace</w:t>
      </w:r>
      <w:r w:rsidRPr="00EB7EEB">
        <w:rPr>
          <w:bCs/>
        </w:rPr>
        <w:t xml:space="preserve"> </w:t>
      </w:r>
      <w:r w:rsidRPr="00EB7EEB">
        <w:rPr>
          <w:bCs/>
          <w:i/>
          <w:iCs/>
        </w:rPr>
        <w:t>v. DiGuglielmo</w:t>
      </w:r>
      <w:r w:rsidRPr="00EB7EEB">
        <w:rPr>
          <w:bCs/>
        </w:rPr>
        <w:t xml:space="preserve">, 544 U.S. 408, 418 (2005)).  </w:t>
      </w:r>
      <w:r w:rsidRPr="00EB7EEB">
        <w:rPr>
          <w:bCs/>
          <w:i/>
        </w:rPr>
        <w:t xml:space="preserve">See also </w:t>
      </w:r>
      <w:r w:rsidRPr="00EB7EEB">
        <w:rPr>
          <w:bCs/>
          <w:i/>
          <w:iCs/>
        </w:rPr>
        <w:t>Credit Suisse Securities (USA) LLC v. Simmonds</w:t>
      </w:r>
      <w:r w:rsidRPr="00EB7EEB">
        <w:rPr>
          <w:bCs/>
        </w:rPr>
        <w:t xml:space="preserve">, 132 S. Ct. 1414, 1419 (2012); </w:t>
      </w:r>
      <w:r w:rsidRPr="00EB7EEB">
        <w:rPr>
          <w:bCs/>
          <w:i/>
        </w:rPr>
        <w:t>Lawrence v. Florida</w:t>
      </w:r>
      <w:r w:rsidRPr="00EB7EEB">
        <w:rPr>
          <w:bCs/>
        </w:rPr>
        <w:t>, 549 U.S. 327, 336 (2007)</w:t>
      </w:r>
      <w:r w:rsidRPr="00EB7EEB">
        <w:rPr>
          <w:bCs/>
        </w:rPr>
        <w:fldChar w:fldCharType="begin"/>
      </w:r>
      <w:r w:rsidRPr="00EB7EEB">
        <w:instrText xml:space="preserve"> TA \l "</w:instrText>
      </w:r>
      <w:r w:rsidRPr="00EB7EEB">
        <w:rPr>
          <w:bCs/>
          <w:i/>
        </w:rPr>
        <w:instrText>Lawrence v. Florida</w:instrText>
      </w:r>
      <w:r w:rsidRPr="00EB7EEB">
        <w:rPr>
          <w:bCs/>
        </w:rPr>
        <w:instrText>, 549 U.S. 327 (2007)</w:instrText>
      </w:r>
      <w:r w:rsidRPr="00EB7EEB">
        <w:instrText xml:space="preserve">" \s "Lawrence v. Florida, 549 U.S. 327 (2007)" \c 1 </w:instrText>
      </w:r>
      <w:r w:rsidRPr="00EB7EEB">
        <w:rPr>
          <w:bCs/>
        </w:rPr>
        <w:fldChar w:fldCharType="end"/>
      </w:r>
      <w:r w:rsidRPr="00EB7EEB">
        <w:rPr>
          <w:bCs/>
        </w:rPr>
        <w:t xml:space="preserve">.  </w:t>
      </w:r>
      <w:r w:rsidRPr="00EB7EEB">
        <w:t>The Supreme Court also requires that those seeking equitable tolling pursue their claims with “</w:t>
      </w:r>
      <w:r w:rsidRPr="00EB7EEB">
        <w:rPr>
          <w:bCs/>
        </w:rPr>
        <w:t xml:space="preserve">reasonable diligence,” but they need not demonstrate “maximum feasible diligence.”  </w:t>
      </w:r>
      <w:r w:rsidRPr="00EB7EEB">
        <w:rPr>
          <w:bCs/>
          <w:i/>
        </w:rPr>
        <w:t>Holland</w:t>
      </w:r>
      <w:r w:rsidRPr="00EB7EEB">
        <w:rPr>
          <w:bCs/>
          <w:i/>
        </w:rPr>
        <w:fldChar w:fldCharType="begin"/>
      </w:r>
      <w:r w:rsidRPr="00EB7EEB">
        <w:instrText xml:space="preserve"> TA \s "Holland v. Florida, 130 S. Ct. 2549 (2010)" </w:instrText>
      </w:r>
      <w:r w:rsidRPr="00EB7EEB">
        <w:rPr>
          <w:bCs/>
          <w:i/>
        </w:rPr>
        <w:fldChar w:fldCharType="end"/>
      </w:r>
      <w:r w:rsidRPr="00EB7EEB">
        <w:rPr>
          <w:bCs/>
        </w:rPr>
        <w:t xml:space="preserve">, 560 U.S. at 653 (internal quotations omitted).  </w:t>
      </w:r>
    </w:p>
    <w:p w14:paraId="644A89C0" w14:textId="2BE1F435" w:rsidR="00184629" w:rsidRPr="00EB7EEB" w:rsidRDefault="00184629" w:rsidP="00184629">
      <w:pPr>
        <w:shd w:val="clear" w:color="auto" w:fill="FFFFFF"/>
        <w:spacing w:line="480" w:lineRule="auto"/>
      </w:pPr>
      <w:r w:rsidRPr="00EB7EEB">
        <w:rPr>
          <w:bCs/>
        </w:rPr>
        <w:tab/>
      </w:r>
      <w:r w:rsidRPr="00EB7EEB">
        <w:t>T</w:t>
      </w:r>
      <w:r w:rsidRPr="00EB7EEB">
        <w:rPr>
          <w:bCs/>
        </w:rPr>
        <w:t xml:space="preserve">he Supreme Court also has recognized a rebuttable presumption that equitable tolling is read into every federal statute of limitations. </w:t>
      </w:r>
      <w:r w:rsidRPr="00EB7EEB">
        <w:t xml:space="preserve"> </w:t>
      </w:r>
      <w:r w:rsidRPr="00EB7EEB">
        <w:rPr>
          <w:i/>
        </w:rPr>
        <w:t>Holland</w:t>
      </w:r>
      <w:r w:rsidRPr="00EB7EEB">
        <w:t xml:space="preserve">, 560 U.S. at 631.  Thus, ten </w:t>
      </w:r>
      <w:r w:rsidR="00C845FF">
        <w:t>C</w:t>
      </w:r>
      <w:r w:rsidR="00C845FF" w:rsidRPr="00EB7EEB">
        <w:t xml:space="preserve">ourts </w:t>
      </w:r>
      <w:r w:rsidRPr="00EB7EEB">
        <w:t xml:space="preserve">of </w:t>
      </w:r>
      <w:r w:rsidR="00C845FF">
        <w:t>A</w:t>
      </w:r>
      <w:r w:rsidR="00C845FF" w:rsidRPr="00EB7EEB">
        <w:t>ppeal</w:t>
      </w:r>
      <w:r w:rsidR="00C845FF">
        <w:t>s</w:t>
      </w:r>
      <w:r w:rsidR="00C845FF">
        <w:rPr>
          <w:rStyle w:val="FootnoteReference"/>
        </w:rPr>
        <w:footnoteReference w:id="4"/>
      </w:r>
      <w:r w:rsidR="00C845FF">
        <w:t xml:space="preserve">, including the Second Circuit where Mr. </w:t>
      </w:r>
      <w:r w:rsidR="00DA062D">
        <w:t xml:space="preserve">X’s </w:t>
      </w:r>
      <w:r w:rsidR="00C845FF">
        <w:t>case arises,</w:t>
      </w:r>
      <w:r w:rsidR="00C845FF" w:rsidRPr="00EB7EEB">
        <w:t xml:space="preserve"> </w:t>
      </w:r>
      <w:r w:rsidRPr="00EB7EEB">
        <w:t>have recognized that motion deadlines in immigration cases are subject to equitable tolling</w:t>
      </w:r>
      <w:r w:rsidRPr="00EB7EEB">
        <w:rPr>
          <w:bCs/>
        </w:rPr>
        <w:t xml:space="preserve">.  </w:t>
      </w:r>
      <w:r w:rsidRPr="00EB7EEB">
        <w:rPr>
          <w:bCs/>
          <w:i/>
        </w:rPr>
        <w:t xml:space="preserve">See </w:t>
      </w:r>
      <w:r w:rsidRPr="00EB7EEB">
        <w:rPr>
          <w:i/>
        </w:rPr>
        <w:t>Iavorski v. INS</w:t>
      </w:r>
      <w:r w:rsidRPr="00EB7EEB">
        <w:t xml:space="preserve">, 232 F.3d </w:t>
      </w:r>
      <w:r w:rsidRPr="00EB7EEB">
        <w:lastRenderedPageBreak/>
        <w:t>124, 134 (2d Cir. 2000) (Sotomayor, J.)</w:t>
      </w:r>
      <w:r w:rsidR="00C845FF">
        <w:t>.</w:t>
      </w:r>
      <w:r w:rsidRPr="00EB7EEB">
        <w:t xml:space="preserve"> </w:t>
      </w:r>
      <w:r w:rsidR="00C845FF">
        <w:rPr>
          <w:bCs/>
          <w:i/>
        </w:rPr>
        <w:t>C</w:t>
      </w:r>
      <w:r w:rsidR="00C845FF" w:rsidRPr="00EB7EEB">
        <w:rPr>
          <w:bCs/>
          <w:i/>
        </w:rPr>
        <w:t>f</w:t>
      </w:r>
      <w:r w:rsidRPr="00EB7EEB">
        <w:rPr>
          <w:bCs/>
        </w:rPr>
        <w:t>.</w:t>
      </w:r>
      <w:r w:rsidRPr="00EB7EEB">
        <w:rPr>
          <w:rStyle w:val="term"/>
        </w:rPr>
        <w:t xml:space="preserve"> </w:t>
      </w:r>
      <w:r w:rsidRPr="00EB7EEB">
        <w:rPr>
          <w:i/>
          <w:iCs/>
        </w:rPr>
        <w:t>Bolieiro v. Holder</w:t>
      </w:r>
      <w:r w:rsidRPr="00EB7EEB">
        <w:t xml:space="preserve">, 731 F.3d 32, 39 n.7 (1st Cir. 2013) (“Notably, every circuit that has addressed the issue thus far has held that equitable tolling applies to . . . limits to filing motions to reopen.”). </w:t>
      </w:r>
      <w:r w:rsidR="00C845FF">
        <w:t>The</w:t>
      </w:r>
      <w:r w:rsidRPr="00EB7EEB">
        <w:t xml:space="preserve"> federal courts</w:t>
      </w:r>
      <w:r w:rsidR="00C845FF">
        <w:t>, including the Second Circuit, likewise</w:t>
      </w:r>
      <w:r w:rsidRPr="00EB7EEB">
        <w:t xml:space="preserve"> recognize that the numeric limit on motions is subject to tolling. </w:t>
      </w:r>
      <w:r w:rsidRPr="00EB7EEB">
        <w:rPr>
          <w:i/>
        </w:rPr>
        <w:t>See Jin Bo Zhao</w:t>
      </w:r>
      <w:r w:rsidRPr="00EB7EEB">
        <w:rPr>
          <w:bCs/>
          <w:i/>
          <w:iCs/>
        </w:rPr>
        <w:t xml:space="preserve"> v. INS</w:t>
      </w:r>
      <w:r w:rsidRPr="00EB7EEB">
        <w:t xml:space="preserve">, 452 F.3d 154 (2d Cir. 2006); </w:t>
      </w:r>
      <w:r w:rsidRPr="00EB7EEB">
        <w:rPr>
          <w:i/>
        </w:rPr>
        <w:t>Rodriguez-Lariz v. INS</w:t>
      </w:r>
      <w:r w:rsidRPr="00EB7EEB">
        <w:t>, 282 F.3d 1218 (9th Cir. 2002)</w:t>
      </w:r>
      <w:r w:rsidR="00C845FF">
        <w:t>.</w:t>
      </w:r>
      <w:r w:rsidRPr="00EB7EEB">
        <w:t xml:space="preserve"> Thus, the time and numeric limitations on motions to reconsider at issue in this case are subject to equitable tolling. </w:t>
      </w:r>
    </w:p>
    <w:p w14:paraId="2389A666" w14:textId="6A77A3D9" w:rsidR="00184629" w:rsidRPr="00AE5C85" w:rsidRDefault="00184629" w:rsidP="00AE5C85">
      <w:pPr>
        <w:pStyle w:val="ListParagraph"/>
        <w:numPr>
          <w:ilvl w:val="0"/>
          <w:numId w:val="13"/>
        </w:num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720"/>
        <w:rPr>
          <w:b/>
        </w:rPr>
      </w:pPr>
      <w:r w:rsidRPr="00AE5C85">
        <w:rPr>
          <w:b/>
          <w:iCs/>
        </w:rPr>
        <w:t xml:space="preserve">Respondent Is Diligently Pursuing His Rights and </w:t>
      </w:r>
      <w:r w:rsidRPr="00AE5C85">
        <w:rPr>
          <w:b/>
        </w:rPr>
        <w:t>Extraordinary Circumstances Prevented Timely Filing of this Motion.</w:t>
      </w:r>
    </w:p>
    <w:p w14:paraId="72C16C52" w14:textId="77777777" w:rsidR="00184629" w:rsidRPr="00EB7EEB" w:rsidRDefault="00184629" w:rsidP="00184629">
      <w:pPr>
        <w:autoSpaceDE w:val="0"/>
        <w:autoSpaceDN w:val="0"/>
        <w:adjustRightInd w:val="0"/>
        <w:jc w:val="both"/>
        <w:rPr>
          <w:b/>
          <w:iCs/>
        </w:rPr>
      </w:pPr>
    </w:p>
    <w:p w14:paraId="01657AC2" w14:textId="522509A2"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 xml:space="preserve">The </w:t>
      </w:r>
      <w:r w:rsidR="00266BD2">
        <w:t>Second Circuit’s</w:t>
      </w:r>
      <w:r w:rsidRPr="00EB7EEB">
        <w:t xml:space="preserve"> decision in </w:t>
      </w:r>
      <w:r w:rsidR="00DA062D">
        <w:rPr>
          <w:i/>
        </w:rPr>
        <w:t>Gibson</w:t>
      </w:r>
      <w:r w:rsidR="00DA062D">
        <w:t xml:space="preserve"> </w:t>
      </w:r>
      <w:r w:rsidR="00E94BA9" w:rsidRPr="00EB7EEB">
        <w:t>constitute</w:t>
      </w:r>
      <w:r w:rsidR="00E94BA9">
        <w:t>s</w:t>
      </w:r>
      <w:r w:rsidR="00E94BA9" w:rsidRPr="00EB7EEB">
        <w:t xml:space="preserve"> an extraordinary circumstance</w:t>
      </w:r>
      <w:r w:rsidRPr="00EB7EEB">
        <w:t xml:space="preserve"> </w:t>
      </w:r>
      <w:r w:rsidR="00E94BA9">
        <w:t>that calls for e</w:t>
      </w:r>
      <w:r w:rsidRPr="00EB7EEB">
        <w:t xml:space="preserve">quitable tolling of the motion to reconsider deadline in this case. </w:t>
      </w:r>
    </w:p>
    <w:p w14:paraId="2D23066C" w14:textId="48ADE897" w:rsidR="00184629" w:rsidRPr="00EB7EEB" w:rsidRDefault="00184629" w:rsidP="00F71E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r>
      <w:r w:rsidR="003E7C48">
        <w:t xml:space="preserve">Mr. </w:t>
      </w:r>
      <w:r w:rsidR="00DA062D">
        <w:t>X</w:t>
      </w:r>
      <w:r w:rsidR="003E7C48">
        <w:t xml:space="preserve"> vigorously pursued defenses to removal </w:t>
      </w:r>
      <w:r w:rsidR="00321C9D">
        <w:t>[</w:t>
      </w:r>
      <w:r w:rsidR="003E7C48">
        <w:t xml:space="preserve">all the way through the petition for review </w:t>
      </w:r>
      <w:r w:rsidR="00321C9D">
        <w:t>stage]</w:t>
      </w:r>
      <w:r w:rsidR="003E7C48">
        <w:t xml:space="preserve">. His arguments, under the law in place at the time, were rejected by the </w:t>
      </w:r>
      <w:r w:rsidR="00321C9D">
        <w:t>[Board]</w:t>
      </w:r>
      <w:r w:rsidR="003E7C48">
        <w:t xml:space="preserve">. </w:t>
      </w:r>
      <w:r w:rsidR="00E51332" w:rsidRPr="004057D6">
        <w:rPr>
          <w:i/>
        </w:rPr>
        <w:t>Gibson</w:t>
      </w:r>
      <w:r w:rsidR="003E7C48" w:rsidRPr="004057D6">
        <w:t xml:space="preserve"> is the first and only case where the Second Circuit </w:t>
      </w:r>
      <w:r w:rsidR="00E51332">
        <w:t xml:space="preserve">clearly considered </w:t>
      </w:r>
      <w:r w:rsidR="004057D6">
        <w:t>overbreadth of the New York narcotics definition for naloxegol</w:t>
      </w:r>
      <w:r w:rsidR="003E7C48">
        <w:t>.</w:t>
      </w:r>
      <w:r w:rsidR="00810E27">
        <w:t xml:space="preserve"> </w:t>
      </w:r>
      <w:r w:rsidR="00285656">
        <w:t xml:space="preserve">The extraordinary circumstance in this case is that the Second Circuit has </w:t>
      </w:r>
      <w:r w:rsidR="00321C9D">
        <w:t>now issued a clear holding that dictates that grounds for Mr. X’s removal order no longer apply</w:t>
      </w:r>
      <w:r w:rsidR="00285656">
        <w:t xml:space="preserve">. That the court’s new holding on this question did not issue until </w:t>
      </w:r>
      <w:r w:rsidR="00321C9D">
        <w:t>2023</w:t>
      </w:r>
      <w:r w:rsidR="00285656">
        <w:t xml:space="preserve"> is the only reason that </w:t>
      </w:r>
      <w:r w:rsidR="00DA062D">
        <w:t>Mr. X</w:t>
      </w:r>
      <w:r w:rsidR="00285656">
        <w:t xml:space="preserve"> did not </w:t>
      </w:r>
      <w:r w:rsidR="00F71E9E">
        <w:t xml:space="preserve">timely </w:t>
      </w:r>
      <w:r w:rsidR="00285656">
        <w:t>move to reconsider his removal order</w:t>
      </w:r>
      <w:r w:rsidRPr="00EB7EEB">
        <w:t>.</w:t>
      </w:r>
    </w:p>
    <w:p w14:paraId="33BA1B94" w14:textId="16E05D4E"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r>
      <w:r w:rsidR="00321C9D">
        <w:rPr>
          <w:i/>
        </w:rPr>
        <w:t>Gibson</w:t>
      </w:r>
      <w:r w:rsidRPr="00EB7EEB">
        <w:rPr>
          <w:i/>
        </w:rPr>
        <w:t xml:space="preserve"> </w:t>
      </w:r>
      <w:r w:rsidRPr="00EB7EEB">
        <w:t xml:space="preserve">was decided on </w:t>
      </w:r>
      <w:r w:rsidR="00321C9D">
        <w:t>February 21, 2023</w:t>
      </w:r>
      <w:r w:rsidRPr="00EB7EEB">
        <w:t xml:space="preserve">.  </w:t>
      </w:r>
      <w:r w:rsidR="00DA062D">
        <w:t>Mr. X</w:t>
      </w:r>
      <w:r w:rsidRPr="00EB7EEB">
        <w:t xml:space="preserve"> has exhibited the requisite diligence both before and after learning of the decision. He first learned of the decision on </w:t>
      </w:r>
      <w:r w:rsidR="00321C9D">
        <w:t xml:space="preserve">[date] </w:t>
      </w:r>
      <w:r w:rsidRPr="00EB7EEB">
        <w:t xml:space="preserve">when he was contacted by </w:t>
      </w:r>
      <w:r w:rsidR="00321C9D">
        <w:t>present counsel</w:t>
      </w:r>
      <w:r w:rsidRPr="00EB7EEB">
        <w:t xml:space="preserve">.  He is filing the instant motion to reopen within </w:t>
      </w:r>
      <w:r w:rsidR="00264B7B" w:rsidRPr="00321C9D">
        <w:t>X</w:t>
      </w:r>
      <w:r w:rsidRPr="00EB7EEB">
        <w:t xml:space="preserve"> days of discovering that he is not deportable and within 30 days of the Second Circuit’s decision. </w:t>
      </w:r>
      <w:r w:rsidR="00DA062D">
        <w:t>Mr. X</w:t>
      </w:r>
      <w:r w:rsidRPr="00EB7EEB">
        <w:t xml:space="preserve"> attempted to challenge the Immigration Judge’s decision by </w:t>
      </w:r>
      <w:r w:rsidR="00321C9D">
        <w:t>[</w:t>
      </w:r>
      <w:r w:rsidRPr="00EB7EEB">
        <w:t xml:space="preserve">appealing the decision to this </w:t>
      </w:r>
      <w:r w:rsidRPr="00EB7EEB">
        <w:lastRenderedPageBreak/>
        <w:t>Board</w:t>
      </w:r>
      <w:r w:rsidR="00321C9D">
        <w:t>]</w:t>
      </w:r>
      <w:r w:rsidRPr="00EB7EEB">
        <w:t xml:space="preserve">. </w:t>
      </w:r>
      <w:r w:rsidR="00DA062D">
        <w:t>Mr. X</w:t>
      </w:r>
      <w:r w:rsidRPr="00EB7EEB">
        <w:t xml:space="preserve"> is filing this motion as soon as practicable after finding out about the decision and has displayed reasonable diligence in pursuing his rights.</w:t>
      </w:r>
    </w:p>
    <w:p w14:paraId="05C0C08B" w14:textId="434A7EDE" w:rsidR="00184629" w:rsidRPr="00EB7EEB" w:rsidRDefault="54F36C92" w:rsidP="372270E2">
      <w:pPr>
        <w:pStyle w:val="ListParagraph"/>
        <w:numPr>
          <w:ilvl w:val="0"/>
          <w:numId w:val="9"/>
        </w:numPr>
        <w:autoSpaceDE w:val="0"/>
        <w:autoSpaceDN w:val="0"/>
        <w:adjustRightInd w:val="0"/>
        <w:ind w:hanging="720"/>
        <w:jc w:val="both"/>
        <w:rPr>
          <w:b/>
          <w:bCs/>
        </w:rPr>
      </w:pPr>
      <w:r w:rsidRPr="18D99517">
        <w:rPr>
          <w:b/>
          <w:bCs/>
        </w:rPr>
        <w:t xml:space="preserve">[If applicable] </w:t>
      </w:r>
      <w:r w:rsidR="00184629" w:rsidRPr="18D99517">
        <w:rPr>
          <w:b/>
          <w:bCs/>
        </w:rPr>
        <w:t xml:space="preserve">Respondent’s Motion is Not Barred by the Departure Bar. </w:t>
      </w:r>
    </w:p>
    <w:p w14:paraId="4EA74011" w14:textId="77777777" w:rsidR="00184629" w:rsidRPr="00EB7EEB" w:rsidRDefault="00184629" w:rsidP="00184629">
      <w:pPr>
        <w:pStyle w:val="ListParagraph"/>
        <w:autoSpaceDE w:val="0"/>
        <w:autoSpaceDN w:val="0"/>
        <w:adjustRightInd w:val="0"/>
        <w:jc w:val="both"/>
        <w:rPr>
          <w:b/>
          <w:iCs/>
        </w:rPr>
      </w:pPr>
    </w:p>
    <w:p w14:paraId="0151AAC7" w14:textId="27DDBE2E" w:rsidR="00184629" w:rsidRPr="00EB7EEB" w:rsidRDefault="00F71E9E" w:rsidP="00184629">
      <w:pPr>
        <w:spacing w:line="480" w:lineRule="auto"/>
        <w:ind w:firstLine="720"/>
      </w:pPr>
      <w:r>
        <w:t>A regulation prescribes that a</w:t>
      </w:r>
      <w:r w:rsidRPr="00EB7EEB">
        <w:t xml:space="preserve"> </w:t>
      </w:r>
      <w:r w:rsidR="00184629" w:rsidRPr="00EB7EEB">
        <w:t>motion to reconsider should not be accepted by an individual who is subject to removal proceedings and has departed from the United States. 8 C.F.R. § 1003.2(d).  However, the Second Circuit has invalidated the so-called “departure bar” in the context of statuto</w:t>
      </w:r>
      <w:r w:rsidR="00FA6798">
        <w:t>ry motions to reopen</w:t>
      </w:r>
      <w:r w:rsidR="00184629" w:rsidRPr="00EB7EEB">
        <w:t xml:space="preserve">. </w:t>
      </w:r>
      <w:r w:rsidR="00184629" w:rsidRPr="00EB7EEB">
        <w:rPr>
          <w:i/>
        </w:rPr>
        <w:t>See Luna v. Holder</w:t>
      </w:r>
      <w:r w:rsidR="00184629" w:rsidRPr="00EB7EEB">
        <w:t>, 637 F.3d 85, 100 (2d Cir. 2011) (</w:t>
      </w:r>
      <w:r w:rsidR="00184629" w:rsidRPr="00EB7EEB">
        <w:rPr>
          <w:i/>
        </w:rPr>
        <w:t>overruling Matter of Armendarez-Mendez</w:t>
      </w:r>
      <w:r w:rsidR="00184629" w:rsidRPr="00EB7EEB">
        <w:t xml:space="preserve">, 24 I &amp; N Dec. 646, 653-60 (BIA 2008)) (the BIA retains jurisdiction over statutory motions even post-departure). The Court in </w:t>
      </w:r>
      <w:r w:rsidR="00184629" w:rsidRPr="00EB7EEB">
        <w:rPr>
          <w:i/>
        </w:rPr>
        <w:t>Luna</w:t>
      </w:r>
      <w:r w:rsidR="00184629" w:rsidRPr="00EB7EEB">
        <w:t xml:space="preserve"> clarified that such statutory motions include motions filed outside of the filing deadlines but which are equitably tolled. </w:t>
      </w:r>
      <w:r w:rsidR="00184629" w:rsidRPr="00EB7EEB">
        <w:rPr>
          <w:i/>
        </w:rPr>
        <w:t>Id.</w:t>
      </w:r>
      <w:r w:rsidR="00184629" w:rsidRPr="00EB7EEB">
        <w:t xml:space="preserve"> at 95. </w:t>
      </w:r>
    </w:p>
    <w:p w14:paraId="19E09107" w14:textId="7BBAAF1E" w:rsidR="00FB5DC0" w:rsidRPr="00F57304" w:rsidRDefault="00184629" w:rsidP="00CC52F3">
      <w:pPr>
        <w:spacing w:line="480" w:lineRule="auto"/>
        <w:ind w:firstLine="720"/>
      </w:pPr>
      <w:r w:rsidRPr="00EB7EEB">
        <w:t xml:space="preserve">The instant motion is a statutory motion, filed pursuant to INA § 240(c)(6)(C). As such, the instant motion is not barred </w:t>
      </w:r>
      <w:r w:rsidR="00627706">
        <w:t>by the</w:t>
      </w:r>
      <w:r w:rsidRPr="00EB7EEB">
        <w:t xml:space="preserve"> departure bar. </w:t>
      </w:r>
    </w:p>
    <w:p w14:paraId="7455BEFF" w14:textId="24777729" w:rsidR="00184629" w:rsidRPr="00AE5C85" w:rsidRDefault="00184629" w:rsidP="00AE5C85">
      <w:pPr>
        <w:pStyle w:val="ListParagraph"/>
        <w:numPr>
          <w:ilvl w:val="0"/>
          <w:numId w:val="9"/>
        </w:numPr>
        <w:autoSpaceDE w:val="0"/>
        <w:autoSpaceDN w:val="0"/>
        <w:adjustRightInd w:val="0"/>
        <w:ind w:left="1530" w:hanging="810"/>
        <w:jc w:val="both"/>
        <w:rPr>
          <w:iCs/>
        </w:rPr>
      </w:pPr>
      <w:r w:rsidRPr="00AE5C85">
        <w:rPr>
          <w:b/>
          <w:iCs/>
        </w:rPr>
        <w:t xml:space="preserve">In the Alternative, the Board Should Reconsider Respondent’s Removal Order Sua Sponte. </w:t>
      </w:r>
    </w:p>
    <w:p w14:paraId="188D442F" w14:textId="77777777" w:rsidR="00184629" w:rsidRPr="00EB7EEB" w:rsidRDefault="00184629" w:rsidP="00184629">
      <w:pPr>
        <w:autoSpaceDE w:val="0"/>
        <w:autoSpaceDN w:val="0"/>
        <w:adjustRightInd w:val="0"/>
        <w:jc w:val="both"/>
        <w:rPr>
          <w:iCs/>
        </w:rPr>
      </w:pPr>
    </w:p>
    <w:p w14:paraId="7E7D892D" w14:textId="18E1EF46" w:rsidR="00184629" w:rsidRDefault="00184629" w:rsidP="00352AF8">
      <w:pPr>
        <w:autoSpaceDE w:val="0"/>
        <w:autoSpaceDN w:val="0"/>
        <w:adjustRightInd w:val="0"/>
        <w:spacing w:line="480" w:lineRule="auto"/>
      </w:pPr>
      <w:r w:rsidRPr="00EB7EEB">
        <w:rPr>
          <w:iCs/>
        </w:rPr>
        <w:tab/>
        <w:t xml:space="preserve">An immigration judge or the Board may reopen or reconsider a case on its own motion at any time. </w:t>
      </w:r>
      <w:r w:rsidRPr="00EB7EEB">
        <w:rPr>
          <w:i/>
          <w:iCs/>
        </w:rPr>
        <w:t xml:space="preserve">See </w:t>
      </w:r>
      <w:r w:rsidRPr="00EB7EEB">
        <w:rPr>
          <w:iCs/>
        </w:rPr>
        <w:t xml:space="preserve">8 C.F.R. </w:t>
      </w:r>
      <w:r w:rsidRPr="00EB7EEB">
        <w:t>§§ 1003.23(b)(1</w:t>
      </w:r>
      <w:r w:rsidR="00F71E9E" w:rsidRPr="00EB7EEB">
        <w:t>)</w:t>
      </w:r>
      <w:r w:rsidR="00F71E9E">
        <w:t>,</w:t>
      </w:r>
      <w:r w:rsidR="00F71E9E" w:rsidRPr="00EB7EEB">
        <w:t xml:space="preserve"> </w:t>
      </w:r>
      <w:r w:rsidRPr="00EB7EEB">
        <w:t xml:space="preserve">1003.2(a). The Board invokes its authority to reopen or reconsider a case following fundamental changes in law. </w:t>
      </w:r>
      <w:r w:rsidRPr="00EB7EEB">
        <w:rPr>
          <w:i/>
        </w:rPr>
        <w:t>See Matter of G-D-</w:t>
      </w:r>
      <w:r w:rsidRPr="00EB7EEB">
        <w:t xml:space="preserve">, 22 I&amp;N Dec. </w:t>
      </w:r>
      <w:r w:rsidRPr="00EB7EEB">
        <w:rPr>
          <w:bCs/>
        </w:rPr>
        <w:t>1132,</w:t>
      </w:r>
      <w:r w:rsidRPr="00EB7EEB">
        <w:t xml:space="preserve"> 1135 (BIA 1999). The Second Circuit’s decision in </w:t>
      </w:r>
      <w:r w:rsidR="00321C9D">
        <w:rPr>
          <w:i/>
        </w:rPr>
        <w:t>Gibson</w:t>
      </w:r>
      <w:r w:rsidRPr="00EB7EEB">
        <w:rPr>
          <w:i/>
        </w:rPr>
        <w:t xml:space="preserve"> </w:t>
      </w:r>
      <w:r w:rsidRPr="00EB7EEB">
        <w:t xml:space="preserve">amounts to a fundamental change in law warranting sua sponte reopening or reconsideration. </w:t>
      </w:r>
      <w:r w:rsidRPr="00EB7EEB">
        <w:rPr>
          <w:i/>
        </w:rPr>
        <w:t xml:space="preserve">See supra </w:t>
      </w:r>
      <w:r w:rsidR="00F71E9E">
        <w:t>§</w:t>
      </w:r>
      <w:r w:rsidR="00F71E9E" w:rsidRPr="00EB7EEB">
        <w:t xml:space="preserve"> </w:t>
      </w:r>
      <w:r w:rsidR="00AE5C85">
        <w:t>X</w:t>
      </w:r>
      <w:r w:rsidRPr="00EB7EEB">
        <w:t xml:space="preserve">. Reconsideration is especially warranted in this case given </w:t>
      </w:r>
      <w:r w:rsidR="00AE5C85">
        <w:t>[equities]</w:t>
      </w:r>
      <w:r w:rsidRPr="00EB7EEB">
        <w:t xml:space="preserve">. </w:t>
      </w:r>
    </w:p>
    <w:p w14:paraId="2EA50E66" w14:textId="1CDB944D" w:rsidR="00AE5C85" w:rsidRPr="00EB7EEB" w:rsidRDefault="00AE5C85" w:rsidP="00352AF8">
      <w:pPr>
        <w:autoSpaceDE w:val="0"/>
        <w:autoSpaceDN w:val="0"/>
        <w:adjustRightInd w:val="0"/>
        <w:spacing w:line="480" w:lineRule="auto"/>
      </w:pPr>
      <w:r>
        <w:tab/>
        <w:t>[Equities]</w:t>
      </w:r>
    </w:p>
    <w:p w14:paraId="7608926B" w14:textId="13E6D0B8" w:rsidR="00CC52F3" w:rsidRPr="00EB7EEB" w:rsidRDefault="00AE5C85" w:rsidP="00CC52F3">
      <w:pPr>
        <w:autoSpaceDE w:val="0"/>
        <w:autoSpaceDN w:val="0"/>
        <w:adjustRightInd w:val="0"/>
        <w:spacing w:line="480" w:lineRule="auto"/>
        <w:ind w:firstLine="720"/>
      </w:pPr>
      <w:r>
        <w:t>Given the above, t</w:t>
      </w:r>
      <w:r w:rsidR="00184629" w:rsidRPr="00EB7EEB">
        <w:t xml:space="preserve">he Board should sua sponte reconsider his removal order </w:t>
      </w:r>
      <w:r>
        <w:t>[</w:t>
      </w:r>
      <w:r w:rsidR="00184629" w:rsidRPr="00EB7EEB">
        <w:t>and allow him to return to the United States and his family.</w:t>
      </w:r>
      <w:r>
        <w:t>]</w:t>
      </w:r>
      <w:r w:rsidR="00184629" w:rsidRPr="00EB7EEB">
        <w:t xml:space="preserve"> </w:t>
      </w:r>
    </w:p>
    <w:p w14:paraId="7417F251" w14:textId="5F0BDB25" w:rsidR="00CC52F3" w:rsidRDefault="00184629" w:rsidP="00AE5C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EB7EEB">
        <w:rPr>
          <w:b/>
          <w:u w:val="single"/>
        </w:rPr>
        <w:lastRenderedPageBreak/>
        <w:t>CONCLUSION</w:t>
      </w:r>
    </w:p>
    <w:p w14:paraId="589214C0" w14:textId="24F97FFC" w:rsidR="00184629" w:rsidRPr="00CC52F3" w:rsidRDefault="00CC52F3" w:rsidP="18D9951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u w:val="single"/>
          <w:lang w:eastAsia="ja-JP"/>
        </w:rPr>
      </w:pPr>
      <w:r>
        <w:tab/>
      </w:r>
      <w:r w:rsidR="00184629" w:rsidRPr="00EB7EEB">
        <w:t xml:space="preserve">The </w:t>
      </w:r>
      <w:r w:rsidR="00184629" w:rsidRPr="00EB7EEB">
        <w:rPr>
          <w:lang w:eastAsia="ja-JP"/>
        </w:rPr>
        <w:t xml:space="preserve">Board should reconsider its prior decision in this case and </w:t>
      </w:r>
      <w:r w:rsidR="74139F84" w:rsidRPr="00EB7EEB">
        <w:rPr>
          <w:lang w:eastAsia="ja-JP"/>
        </w:rPr>
        <w:t>[</w:t>
      </w:r>
      <w:r w:rsidR="00184629" w:rsidRPr="00EB7EEB">
        <w:rPr>
          <w:lang w:eastAsia="ja-JP"/>
        </w:rPr>
        <w:t>terminate removal proceedings against Respondent</w:t>
      </w:r>
      <w:r w:rsidR="59880528" w:rsidRPr="00EB7EEB">
        <w:rPr>
          <w:lang w:eastAsia="ja-JP"/>
        </w:rPr>
        <w:t>]</w:t>
      </w:r>
      <w:r w:rsidR="00A550D2">
        <w:rPr>
          <w:lang w:eastAsia="ja-JP"/>
        </w:rPr>
        <w:t xml:space="preserve"> </w:t>
      </w:r>
      <w:r w:rsidR="4715CA33">
        <w:rPr>
          <w:lang w:eastAsia="ja-JP"/>
        </w:rPr>
        <w:t>[</w:t>
      </w:r>
      <w:r w:rsidR="00A550D2">
        <w:rPr>
          <w:lang w:eastAsia="ja-JP"/>
        </w:rPr>
        <w:t>remand for consideration of his application for cancellation of removal</w:t>
      </w:r>
      <w:r w:rsidR="2FC22E3F">
        <w:rPr>
          <w:lang w:eastAsia="ja-JP"/>
        </w:rPr>
        <w:t>]</w:t>
      </w:r>
      <w:r w:rsidR="00184629" w:rsidRPr="00EB7EEB">
        <w:rPr>
          <w:lang w:eastAsia="ja-JP"/>
        </w:rPr>
        <w:t>.</w:t>
      </w:r>
    </w:p>
    <w:p w14:paraId="7732DE0B" w14:textId="77777777" w:rsidR="00184629" w:rsidRPr="00EB7EEB" w:rsidRDefault="00184629" w:rsidP="00184629">
      <w:pPr>
        <w:spacing w:line="480" w:lineRule="auto"/>
        <w:ind w:firstLine="720"/>
      </w:pPr>
    </w:p>
    <w:p w14:paraId="757D3318" w14:textId="1BB30C67"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EB7EEB">
        <w:t xml:space="preserve">Dated: </w:t>
      </w:r>
      <w:r w:rsidRPr="00EB7EEB">
        <w:rPr>
          <w:b/>
        </w:rPr>
        <w:t>____________</w:t>
      </w:r>
      <w:r w:rsidRPr="00EB7EEB">
        <w:tab/>
      </w:r>
      <w:r w:rsidRPr="00EB7EEB">
        <w:tab/>
      </w:r>
      <w:r w:rsidRPr="00EB7EEB">
        <w:tab/>
      </w:r>
      <w:r w:rsidR="00876730" w:rsidRPr="00EB7EEB">
        <w:tab/>
      </w:r>
      <w:r w:rsidR="004057D6">
        <w:tab/>
      </w:r>
      <w:r w:rsidR="004057D6">
        <w:tab/>
      </w:r>
      <w:r w:rsidRPr="00EB7EEB">
        <w:t>Respectfully submitted,</w:t>
      </w:r>
    </w:p>
    <w:p w14:paraId="5F1E1D8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6AEB51" w14:textId="077ECADD"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00876730" w:rsidRPr="00EB7EEB">
        <w:tab/>
      </w:r>
      <w:r w:rsidR="004057D6">
        <w:tab/>
      </w:r>
      <w:r w:rsidR="004057D6">
        <w:tab/>
      </w:r>
      <w:r w:rsidRPr="00EB7EEB">
        <w:rPr>
          <w:b/>
        </w:rPr>
        <w:t>____________________</w:t>
      </w:r>
      <w:r w:rsidR="00876730" w:rsidRPr="00EB7EEB">
        <w:rPr>
          <w:b/>
        </w:rPr>
        <w:t>__</w:t>
      </w:r>
    </w:p>
    <w:p w14:paraId="7BD2415D" w14:textId="3EEF9047" w:rsidR="00184629" w:rsidRPr="00EB7EEB" w:rsidRDefault="004057D6"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4C227CCD"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1AB397"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89002" w14:textId="77777777" w:rsidR="00184629"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F2A3C9" w14:textId="77777777" w:rsidR="00A550D2"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8214F7" w14:textId="77777777" w:rsidR="00A550D2"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6AEB05" w14:textId="77777777" w:rsidR="00A550D2"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C70DDC" w14:textId="77777777" w:rsidR="00A550D2"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B9DA5" w14:textId="77777777" w:rsidR="00A550D2"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8B8BFE" w14:textId="77777777" w:rsidR="00A550D2"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86934D" w14:textId="77777777" w:rsidR="00A550D2"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87F8EE" w14:textId="77777777" w:rsidR="0089291B" w:rsidRPr="00EB7EEB" w:rsidRDefault="0089291B" w:rsidP="00CC4713"/>
    <w:sectPr w:rsidR="0089291B" w:rsidRPr="00EB7EEB" w:rsidSect="00CC52F3">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E6B4" w14:textId="77777777" w:rsidR="0060751D" w:rsidRDefault="0060751D" w:rsidP="00CC4713">
      <w:r>
        <w:separator/>
      </w:r>
    </w:p>
  </w:endnote>
  <w:endnote w:type="continuationSeparator" w:id="0">
    <w:p w14:paraId="0D55F8D8" w14:textId="77777777" w:rsidR="0060751D" w:rsidRDefault="0060751D" w:rsidP="00CC4713">
      <w:r>
        <w:continuationSeparator/>
      </w:r>
    </w:p>
  </w:endnote>
  <w:endnote w:type="continuationNotice" w:id="1">
    <w:p w14:paraId="25ECE0B9" w14:textId="77777777" w:rsidR="0060751D" w:rsidRDefault="0060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MS Mincho"/>
    <w:charset w:val="80"/>
    <w:family w:val="roman"/>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EF51" w14:textId="03143B18" w:rsidR="00C36C9F" w:rsidRDefault="00C36C9F" w:rsidP="00CC52F3">
    <w:pPr>
      <w:pStyle w:val="Footer"/>
    </w:pPr>
  </w:p>
  <w:p w14:paraId="49C3B657" w14:textId="77777777" w:rsidR="00C36C9F" w:rsidRDefault="00C36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C9FD" w14:textId="77777777" w:rsidR="0060751D" w:rsidRDefault="0060751D" w:rsidP="00CC4713">
      <w:r>
        <w:separator/>
      </w:r>
    </w:p>
  </w:footnote>
  <w:footnote w:type="continuationSeparator" w:id="0">
    <w:p w14:paraId="19A96088" w14:textId="77777777" w:rsidR="0060751D" w:rsidRDefault="0060751D" w:rsidP="00CC4713">
      <w:r>
        <w:continuationSeparator/>
      </w:r>
    </w:p>
  </w:footnote>
  <w:footnote w:type="continuationNotice" w:id="1">
    <w:p w14:paraId="33D5F371" w14:textId="77777777" w:rsidR="0060751D" w:rsidRDefault="0060751D"/>
  </w:footnote>
  <w:footnote w:id="2">
    <w:p w14:paraId="2ECCEA9E" w14:textId="3E834C93" w:rsidR="00932027" w:rsidRPr="00E210AC" w:rsidRDefault="00932027" w:rsidP="00932027">
      <w:pPr>
        <w:pStyle w:val="FootnoteText"/>
      </w:pPr>
      <w:r>
        <w:rPr>
          <w:rStyle w:val="FootnoteReference"/>
        </w:rPr>
        <w:footnoteRef/>
      </w:r>
      <w:r>
        <w:t xml:space="preserve"> The government argued in </w:t>
      </w:r>
      <w:r w:rsidRPr="372270E2">
        <w:rPr>
          <w:i/>
          <w:iCs/>
        </w:rPr>
        <w:t>Gibson</w:t>
      </w:r>
      <w:r>
        <w:t xml:space="preserve"> that the appropriate point of comparison of the state and federal schedules was the time of Mr. Gibson’s New York conviction in 2002. The court rejected that argument, but found it unnecessary to decide whether the correct time of comparison is the commission of the federal offense or the conviction of the federal offense, as the New York schedule was overbroad as to the federal schedule regardless of which applied. </w:t>
      </w:r>
      <w:r w:rsidRPr="00692C9D">
        <w:t>55 F.4</w:t>
      </w:r>
      <w:r>
        <w:t>th</w:t>
      </w:r>
      <w:r w:rsidRPr="00692C9D">
        <w:t xml:space="preserve"> at 166. </w:t>
      </w:r>
      <w:r>
        <w:t xml:space="preserve">The timing of comparison is not at issue in immigration cases. </w:t>
      </w:r>
      <w:r w:rsidRPr="372270E2">
        <w:rPr>
          <w:i/>
          <w:iCs/>
        </w:rPr>
        <w:t>See Doe v. Sessions</w:t>
      </w:r>
      <w:r w:rsidRPr="00E210AC">
        <w:t>, 886 F.3d 203, 208 (2d Cir. 2018) (</w:t>
      </w:r>
      <w:r>
        <w:t xml:space="preserve">holding that in immigration cases the proper comparison is between the state and federal drug schedules as they were at the time of conviction). </w:t>
      </w:r>
    </w:p>
    <w:p w14:paraId="065178C2" w14:textId="77777777" w:rsidR="00932027" w:rsidRDefault="00932027" w:rsidP="00932027">
      <w:pPr>
        <w:pStyle w:val="FootnoteText"/>
      </w:pPr>
    </w:p>
  </w:footnote>
  <w:footnote w:id="3">
    <w:p w14:paraId="690B1121" w14:textId="77777777" w:rsidR="003A4B3B" w:rsidRPr="001D3C29" w:rsidRDefault="003A4B3B" w:rsidP="003A4B3B">
      <w:pPr>
        <w:pStyle w:val="FootnoteText"/>
      </w:pPr>
      <w:r>
        <w:rPr>
          <w:rStyle w:val="FootnoteReference"/>
        </w:rPr>
        <w:footnoteRef/>
      </w:r>
      <w:r>
        <w:t xml:space="preserve"> </w:t>
      </w:r>
      <w:r w:rsidRPr="006B5615">
        <w:t>The</w:t>
      </w:r>
      <w:r>
        <w:t xml:space="preserve"> Second Circuit’s previous decision in </w:t>
      </w:r>
      <w:r>
        <w:rPr>
          <w:i/>
          <w:iCs/>
        </w:rPr>
        <w:t xml:space="preserve">Harbin v. </w:t>
      </w:r>
      <w:r w:rsidRPr="00690F59">
        <w:rPr>
          <w:i/>
          <w:iCs/>
        </w:rPr>
        <w:t>Sessions</w:t>
      </w:r>
      <w:r w:rsidRPr="00AE5C85">
        <w:t>,</w:t>
      </w:r>
      <w:r>
        <w:rPr>
          <w:i/>
          <w:iCs/>
        </w:rPr>
        <w:t xml:space="preserve"> </w:t>
      </w:r>
      <w:r>
        <w:t xml:space="preserve">860 F.3d 58 (2d. Cir. 2017) also dictates that [statute] is indivisible as to the particular substance. </w:t>
      </w:r>
      <w:r>
        <w:rPr>
          <w:i/>
          <w:iCs/>
        </w:rPr>
        <w:t>Harbin</w:t>
      </w:r>
      <w:r>
        <w:t xml:space="preserve"> in fact uses cases involving narcotics, rather than the broader term “controlled substance,” to reach its indivisibility finding. </w:t>
      </w:r>
      <w:r>
        <w:rPr>
          <w:i/>
          <w:iCs/>
        </w:rPr>
        <w:t>Id.</w:t>
      </w:r>
      <w:r>
        <w:t xml:space="preserve"> at 67 (“</w:t>
      </w:r>
      <w:r w:rsidRPr="001D3C29">
        <w:t>Several cases in the Appellate Division have considered NYPL § 220.16(1), a statute comparable to NYPL § 220.31 except that it deals with possession instead of sale—and deals with the possession of narcotics in particular</w:t>
      </w:r>
      <w:r>
        <w:t>.”). Therefore, the particular substance indivisibility holding applies equally to all New York drug statutes, including those using the term “narcotics.”</w:t>
      </w:r>
      <w:r w:rsidRPr="001D3C29">
        <w:br/>
      </w:r>
    </w:p>
    <w:p w14:paraId="689D14A0" w14:textId="77777777" w:rsidR="003A4B3B" w:rsidRPr="001D3C29" w:rsidRDefault="003A4B3B" w:rsidP="003A4B3B">
      <w:pPr>
        <w:pStyle w:val="FootnoteText"/>
      </w:pPr>
    </w:p>
    <w:p w14:paraId="6D2D1EB5" w14:textId="77777777" w:rsidR="003A4B3B" w:rsidRDefault="003A4B3B" w:rsidP="003A4B3B">
      <w:pPr>
        <w:pStyle w:val="FootnoteText"/>
      </w:pPr>
    </w:p>
  </w:footnote>
  <w:footnote w:id="4">
    <w:p w14:paraId="7C504689" w14:textId="6848398B" w:rsidR="00C36C9F" w:rsidRPr="00352AF8" w:rsidRDefault="00C36C9F">
      <w:pPr>
        <w:pStyle w:val="FootnoteText"/>
        <w:rPr>
          <w:sz w:val="24"/>
          <w:szCs w:val="24"/>
        </w:rPr>
      </w:pPr>
      <w:r w:rsidRPr="00352AF8">
        <w:rPr>
          <w:rStyle w:val="FootnoteReference"/>
          <w:sz w:val="24"/>
          <w:szCs w:val="24"/>
        </w:rPr>
        <w:footnoteRef/>
      </w:r>
      <w:r w:rsidRPr="00352AF8">
        <w:rPr>
          <w:sz w:val="24"/>
          <w:szCs w:val="24"/>
        </w:rPr>
        <w:t xml:space="preserve"> ;</w:t>
      </w:r>
      <w:r w:rsidRPr="00352AF8">
        <w:rPr>
          <w:i/>
          <w:sz w:val="24"/>
          <w:szCs w:val="24"/>
        </w:rPr>
        <w:t>See</w:t>
      </w:r>
      <w:r w:rsidRPr="00352AF8">
        <w:rPr>
          <w:sz w:val="24"/>
          <w:szCs w:val="24"/>
        </w:rPr>
        <w:t xml:space="preserve"> </w:t>
      </w:r>
      <w:r w:rsidRPr="00352AF8">
        <w:rPr>
          <w:i/>
          <w:iCs/>
          <w:sz w:val="24"/>
          <w:szCs w:val="24"/>
        </w:rPr>
        <w:t>Borges v. Gonzales</w:t>
      </w:r>
      <w:r w:rsidRPr="00352AF8">
        <w:rPr>
          <w:sz w:val="24"/>
          <w:szCs w:val="24"/>
        </w:rPr>
        <w:t xml:space="preserve">, 402 F.3d 398, 407 (3d Cir. 2005); </w:t>
      </w:r>
      <w:r w:rsidRPr="00352AF8">
        <w:rPr>
          <w:i/>
          <w:sz w:val="24"/>
          <w:szCs w:val="24"/>
        </w:rPr>
        <w:t>Kuusk v. Holder</w:t>
      </w:r>
      <w:r w:rsidRPr="00352AF8">
        <w:rPr>
          <w:sz w:val="24"/>
          <w:szCs w:val="24"/>
        </w:rPr>
        <w:t xml:space="preserve">, 732 F.3d 302, 305 (4th Cir. 2013); </w:t>
      </w:r>
      <w:r w:rsidRPr="00352AF8">
        <w:rPr>
          <w:i/>
          <w:sz w:val="24"/>
          <w:szCs w:val="24"/>
        </w:rPr>
        <w:t>Lugo-Resendez v. Lynch</w:t>
      </w:r>
      <w:r w:rsidRPr="00352AF8">
        <w:rPr>
          <w:sz w:val="24"/>
          <w:szCs w:val="24"/>
        </w:rPr>
        <w:t xml:space="preserve">, 831 F.3d 337, 344 (5th Cir. 2016); </w:t>
      </w:r>
      <w:r w:rsidRPr="00352AF8">
        <w:rPr>
          <w:i/>
          <w:iCs/>
          <w:sz w:val="24"/>
          <w:szCs w:val="24"/>
        </w:rPr>
        <w:t>Mezo v. Holder</w:t>
      </w:r>
      <w:r w:rsidRPr="00352AF8">
        <w:rPr>
          <w:sz w:val="24"/>
          <w:szCs w:val="24"/>
        </w:rPr>
        <w:t xml:space="preserve">, 615 F.3d 616, 620 (6th Cir. 2010); </w:t>
      </w:r>
      <w:r w:rsidRPr="00352AF8">
        <w:rPr>
          <w:bCs/>
          <w:i/>
          <w:sz w:val="24"/>
          <w:szCs w:val="24"/>
        </w:rPr>
        <w:t>Pervaiz v. Gonzales</w:t>
      </w:r>
      <w:r w:rsidRPr="00352AF8">
        <w:rPr>
          <w:bCs/>
          <w:sz w:val="24"/>
          <w:szCs w:val="24"/>
        </w:rPr>
        <w:t xml:space="preserve">, 405 F.3d 488, 489 (7th Cir. 2005); </w:t>
      </w:r>
      <w:r w:rsidRPr="00352AF8">
        <w:rPr>
          <w:i/>
          <w:iCs/>
          <w:sz w:val="24"/>
          <w:szCs w:val="24"/>
        </w:rPr>
        <w:t>Ortega-Marroquin v. Holder</w:t>
      </w:r>
      <w:r w:rsidRPr="00352AF8">
        <w:rPr>
          <w:iCs/>
          <w:sz w:val="24"/>
          <w:szCs w:val="24"/>
        </w:rPr>
        <w:t>, 640 F.3d 814,</w:t>
      </w:r>
      <w:r w:rsidRPr="00352AF8">
        <w:rPr>
          <w:i/>
          <w:iCs/>
          <w:sz w:val="24"/>
          <w:szCs w:val="24"/>
        </w:rPr>
        <w:t xml:space="preserve"> </w:t>
      </w:r>
      <w:r w:rsidRPr="00352AF8">
        <w:rPr>
          <w:sz w:val="24"/>
          <w:szCs w:val="24"/>
        </w:rPr>
        <w:t xml:space="preserve">819-20 (8th Cir. 2011); </w:t>
      </w:r>
      <w:r w:rsidRPr="00352AF8">
        <w:rPr>
          <w:i/>
          <w:iCs/>
          <w:sz w:val="24"/>
          <w:szCs w:val="24"/>
        </w:rPr>
        <w:t>Socop-Gonzalez v. INS</w:t>
      </w:r>
      <w:r w:rsidRPr="00352AF8">
        <w:rPr>
          <w:sz w:val="24"/>
          <w:szCs w:val="24"/>
        </w:rPr>
        <w:t>, 272 F.3d 1176, 1184-85 (9th Cir. 2001)</w:t>
      </w:r>
      <w:r w:rsidRPr="00352AF8">
        <w:rPr>
          <w:bCs/>
          <w:sz w:val="24"/>
          <w:szCs w:val="24"/>
        </w:rPr>
        <w:t xml:space="preserve">; </w:t>
      </w:r>
      <w:r w:rsidRPr="00352AF8">
        <w:rPr>
          <w:i/>
          <w:sz w:val="24"/>
          <w:szCs w:val="24"/>
        </w:rPr>
        <w:t>Riley v. INS</w:t>
      </w:r>
      <w:r w:rsidRPr="00352AF8">
        <w:rPr>
          <w:sz w:val="24"/>
          <w:szCs w:val="24"/>
        </w:rPr>
        <w:t>, 310 F.3d 1253, 1258 (10th Cir. 2002)</w:t>
      </w:r>
      <w:r w:rsidRPr="00352AF8">
        <w:rPr>
          <w:bCs/>
          <w:sz w:val="24"/>
          <w:szCs w:val="24"/>
        </w:rPr>
        <w:t>;</w:t>
      </w:r>
      <w:r w:rsidRPr="00352AF8">
        <w:rPr>
          <w:sz w:val="24"/>
          <w:szCs w:val="24"/>
        </w:rPr>
        <w:t xml:space="preserve"> </w:t>
      </w:r>
      <w:r w:rsidRPr="00352AF8">
        <w:rPr>
          <w:i/>
          <w:sz w:val="24"/>
          <w:szCs w:val="24"/>
        </w:rPr>
        <w:t>Avila-Santoyo v. AG</w:t>
      </w:r>
      <w:r w:rsidRPr="00352AF8">
        <w:rPr>
          <w:sz w:val="24"/>
          <w:szCs w:val="24"/>
        </w:rPr>
        <w:t>, 713 F.3d 1357, 1363 n.5 (11th Cir. 2013) (en banc).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2270E2" w14:paraId="415DE492" w14:textId="77777777" w:rsidTr="0067658A">
      <w:trPr>
        <w:trHeight w:val="300"/>
      </w:trPr>
      <w:tc>
        <w:tcPr>
          <w:tcW w:w="3120" w:type="dxa"/>
        </w:tcPr>
        <w:p w14:paraId="1E0A2B21" w14:textId="4BE3C729" w:rsidR="372270E2" w:rsidRDefault="372270E2" w:rsidP="005520F1">
          <w:pPr>
            <w:pStyle w:val="Header"/>
            <w:ind w:left="-115"/>
          </w:pPr>
        </w:p>
      </w:tc>
      <w:tc>
        <w:tcPr>
          <w:tcW w:w="3120" w:type="dxa"/>
        </w:tcPr>
        <w:p w14:paraId="2C72215D" w14:textId="2BD5919D" w:rsidR="372270E2" w:rsidRDefault="372270E2" w:rsidP="005520F1">
          <w:pPr>
            <w:pStyle w:val="Header"/>
            <w:jc w:val="center"/>
          </w:pPr>
        </w:p>
      </w:tc>
      <w:tc>
        <w:tcPr>
          <w:tcW w:w="3120" w:type="dxa"/>
        </w:tcPr>
        <w:p w14:paraId="274DAA09" w14:textId="2737E512" w:rsidR="372270E2" w:rsidRDefault="372270E2" w:rsidP="005520F1">
          <w:pPr>
            <w:pStyle w:val="Header"/>
            <w:ind w:right="-115"/>
            <w:jc w:val="right"/>
          </w:pPr>
        </w:p>
      </w:tc>
    </w:tr>
  </w:tbl>
  <w:p w14:paraId="38B53231" w14:textId="7341B199" w:rsidR="372270E2" w:rsidRDefault="372270E2" w:rsidP="0055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B9C"/>
    <w:multiLevelType w:val="multilevel"/>
    <w:tmpl w:val="50646948"/>
    <w:styleLink w:val="CurrentList1"/>
    <w:lvl w:ilvl="0">
      <w:start w:val="3"/>
      <w:numFmt w:val="upperRoman"/>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915619"/>
    <w:multiLevelType w:val="hybridMultilevel"/>
    <w:tmpl w:val="50646948"/>
    <w:lvl w:ilvl="0" w:tplc="844487E6">
      <w:start w:val="3"/>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75CBF"/>
    <w:multiLevelType w:val="hybridMultilevel"/>
    <w:tmpl w:val="980EE134"/>
    <w:lvl w:ilvl="0" w:tplc="A2668A9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C54C80"/>
    <w:multiLevelType w:val="hybridMultilevel"/>
    <w:tmpl w:val="136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11B9F"/>
    <w:multiLevelType w:val="hybridMultilevel"/>
    <w:tmpl w:val="9DB01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55BF6"/>
    <w:multiLevelType w:val="hybridMultilevel"/>
    <w:tmpl w:val="56EE74AE"/>
    <w:lvl w:ilvl="0" w:tplc="E002645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C2B9C"/>
    <w:multiLevelType w:val="hybridMultilevel"/>
    <w:tmpl w:val="A978E39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D112D1"/>
    <w:multiLevelType w:val="hybridMultilevel"/>
    <w:tmpl w:val="1FAE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21416"/>
    <w:multiLevelType w:val="hybridMultilevel"/>
    <w:tmpl w:val="70EEE20C"/>
    <w:lvl w:ilvl="0" w:tplc="19D0AA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D4AFE"/>
    <w:multiLevelType w:val="hybridMultilevel"/>
    <w:tmpl w:val="D514F3E0"/>
    <w:lvl w:ilvl="0" w:tplc="5870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CF23E5"/>
    <w:multiLevelType w:val="hybridMultilevel"/>
    <w:tmpl w:val="751C10C2"/>
    <w:lvl w:ilvl="0" w:tplc="87F422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74704A"/>
    <w:multiLevelType w:val="hybridMultilevel"/>
    <w:tmpl w:val="4EF479D6"/>
    <w:lvl w:ilvl="0" w:tplc="E0026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7606F2"/>
    <w:multiLevelType w:val="hybridMultilevel"/>
    <w:tmpl w:val="7A78D8A2"/>
    <w:lvl w:ilvl="0" w:tplc="453A17B2">
      <w:start w:val="3"/>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3364583">
    <w:abstractNumId w:val="8"/>
  </w:num>
  <w:num w:numId="2" w16cid:durableId="1956865297">
    <w:abstractNumId w:val="1"/>
  </w:num>
  <w:num w:numId="3" w16cid:durableId="728578947">
    <w:abstractNumId w:val="4"/>
  </w:num>
  <w:num w:numId="4" w16cid:durableId="1038970308">
    <w:abstractNumId w:val="7"/>
  </w:num>
  <w:num w:numId="5" w16cid:durableId="1649676038">
    <w:abstractNumId w:val="3"/>
  </w:num>
  <w:num w:numId="6" w16cid:durableId="956376624">
    <w:abstractNumId w:val="2"/>
  </w:num>
  <w:num w:numId="7" w16cid:durableId="1722172095">
    <w:abstractNumId w:val="9"/>
  </w:num>
  <w:num w:numId="8" w16cid:durableId="1686786362">
    <w:abstractNumId w:val="6"/>
  </w:num>
  <w:num w:numId="9" w16cid:durableId="1429230153">
    <w:abstractNumId w:val="12"/>
  </w:num>
  <w:num w:numId="10" w16cid:durableId="810295339">
    <w:abstractNumId w:val="10"/>
  </w:num>
  <w:num w:numId="11" w16cid:durableId="1499030801">
    <w:abstractNumId w:val="0"/>
  </w:num>
  <w:num w:numId="12" w16cid:durableId="475072117">
    <w:abstractNumId w:val="11"/>
  </w:num>
  <w:num w:numId="13" w16cid:durableId="72464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13"/>
    <w:rsid w:val="000022E6"/>
    <w:rsid w:val="00017B8C"/>
    <w:rsid w:val="000219B6"/>
    <w:rsid w:val="000243CF"/>
    <w:rsid w:val="000274C5"/>
    <w:rsid w:val="0003049C"/>
    <w:rsid w:val="00035625"/>
    <w:rsid w:val="00046B67"/>
    <w:rsid w:val="000474EF"/>
    <w:rsid w:val="000528F6"/>
    <w:rsid w:val="00055A62"/>
    <w:rsid w:val="000568E0"/>
    <w:rsid w:val="000570F9"/>
    <w:rsid w:val="000613A8"/>
    <w:rsid w:val="0006157E"/>
    <w:rsid w:val="000744DE"/>
    <w:rsid w:val="0007462E"/>
    <w:rsid w:val="000746D0"/>
    <w:rsid w:val="00075DFC"/>
    <w:rsid w:val="000770E6"/>
    <w:rsid w:val="000937C3"/>
    <w:rsid w:val="00093848"/>
    <w:rsid w:val="000964C5"/>
    <w:rsid w:val="000A05CE"/>
    <w:rsid w:val="000B237E"/>
    <w:rsid w:val="000B428E"/>
    <w:rsid w:val="000B6088"/>
    <w:rsid w:val="000C3A11"/>
    <w:rsid w:val="000C77FB"/>
    <w:rsid w:val="000D11E6"/>
    <w:rsid w:val="000D3F15"/>
    <w:rsid w:val="000D44CB"/>
    <w:rsid w:val="000D7F80"/>
    <w:rsid w:val="000E0079"/>
    <w:rsid w:val="000E3FA6"/>
    <w:rsid w:val="000E73AE"/>
    <w:rsid w:val="000F0BA5"/>
    <w:rsid w:val="000F7643"/>
    <w:rsid w:val="000F787D"/>
    <w:rsid w:val="00101CB2"/>
    <w:rsid w:val="00106BC1"/>
    <w:rsid w:val="00107C57"/>
    <w:rsid w:val="00112E89"/>
    <w:rsid w:val="00121A01"/>
    <w:rsid w:val="001344B8"/>
    <w:rsid w:val="00135E80"/>
    <w:rsid w:val="001371DC"/>
    <w:rsid w:val="00143FB0"/>
    <w:rsid w:val="00145637"/>
    <w:rsid w:val="00150112"/>
    <w:rsid w:val="00150C73"/>
    <w:rsid w:val="0015147F"/>
    <w:rsid w:val="001530A3"/>
    <w:rsid w:val="00154E29"/>
    <w:rsid w:val="00156848"/>
    <w:rsid w:val="0015725F"/>
    <w:rsid w:val="00157A9F"/>
    <w:rsid w:val="00157E03"/>
    <w:rsid w:val="00163FBC"/>
    <w:rsid w:val="001737F0"/>
    <w:rsid w:val="001774FF"/>
    <w:rsid w:val="00184629"/>
    <w:rsid w:val="0019051B"/>
    <w:rsid w:val="001A3C81"/>
    <w:rsid w:val="001A6055"/>
    <w:rsid w:val="001A7885"/>
    <w:rsid w:val="001B193A"/>
    <w:rsid w:val="001B5634"/>
    <w:rsid w:val="001C10D2"/>
    <w:rsid w:val="001C62FE"/>
    <w:rsid w:val="001D0EE5"/>
    <w:rsid w:val="001D3C29"/>
    <w:rsid w:val="001E0CCB"/>
    <w:rsid w:val="001E7087"/>
    <w:rsid w:val="001F06DD"/>
    <w:rsid w:val="001F3D6C"/>
    <w:rsid w:val="001F56DE"/>
    <w:rsid w:val="0020155E"/>
    <w:rsid w:val="0020393D"/>
    <w:rsid w:val="00206AF4"/>
    <w:rsid w:val="0021158E"/>
    <w:rsid w:val="00211ADF"/>
    <w:rsid w:val="0022150F"/>
    <w:rsid w:val="002278ED"/>
    <w:rsid w:val="00234C13"/>
    <w:rsid w:val="0023529B"/>
    <w:rsid w:val="002376D7"/>
    <w:rsid w:val="002411B0"/>
    <w:rsid w:val="00250842"/>
    <w:rsid w:val="00250A32"/>
    <w:rsid w:val="002519D0"/>
    <w:rsid w:val="00252CBD"/>
    <w:rsid w:val="00261062"/>
    <w:rsid w:val="00261B8C"/>
    <w:rsid w:val="00264B7B"/>
    <w:rsid w:val="00266BD2"/>
    <w:rsid w:val="00266F8E"/>
    <w:rsid w:val="00275B7F"/>
    <w:rsid w:val="00285656"/>
    <w:rsid w:val="002A1A8F"/>
    <w:rsid w:val="002A37BB"/>
    <w:rsid w:val="002A7DD3"/>
    <w:rsid w:val="002B1FAB"/>
    <w:rsid w:val="002B4AF5"/>
    <w:rsid w:val="002B7C54"/>
    <w:rsid w:val="002C34DF"/>
    <w:rsid w:val="002D7420"/>
    <w:rsid w:val="002E1B81"/>
    <w:rsid w:val="002E4AE8"/>
    <w:rsid w:val="002F0BEA"/>
    <w:rsid w:val="002F1E20"/>
    <w:rsid w:val="002F371C"/>
    <w:rsid w:val="002F48F3"/>
    <w:rsid w:val="002F53CA"/>
    <w:rsid w:val="002F617D"/>
    <w:rsid w:val="003003CA"/>
    <w:rsid w:val="003125C0"/>
    <w:rsid w:val="00314FC3"/>
    <w:rsid w:val="0031694F"/>
    <w:rsid w:val="0031722E"/>
    <w:rsid w:val="0032106D"/>
    <w:rsid w:val="00321C9D"/>
    <w:rsid w:val="00327C45"/>
    <w:rsid w:val="0033237A"/>
    <w:rsid w:val="00332BD9"/>
    <w:rsid w:val="003411FE"/>
    <w:rsid w:val="0034192D"/>
    <w:rsid w:val="00343785"/>
    <w:rsid w:val="003466E7"/>
    <w:rsid w:val="003505D6"/>
    <w:rsid w:val="00350CC6"/>
    <w:rsid w:val="003511BD"/>
    <w:rsid w:val="003528EF"/>
    <w:rsid w:val="00352AF8"/>
    <w:rsid w:val="00354008"/>
    <w:rsid w:val="00357D9E"/>
    <w:rsid w:val="00363930"/>
    <w:rsid w:val="00374B45"/>
    <w:rsid w:val="00376417"/>
    <w:rsid w:val="00377421"/>
    <w:rsid w:val="00381E26"/>
    <w:rsid w:val="00383215"/>
    <w:rsid w:val="003848A5"/>
    <w:rsid w:val="00390B35"/>
    <w:rsid w:val="00390C7B"/>
    <w:rsid w:val="00391FFC"/>
    <w:rsid w:val="00392C50"/>
    <w:rsid w:val="003940AD"/>
    <w:rsid w:val="00395260"/>
    <w:rsid w:val="003959D0"/>
    <w:rsid w:val="003978A9"/>
    <w:rsid w:val="003A2311"/>
    <w:rsid w:val="003A4B3B"/>
    <w:rsid w:val="003B6005"/>
    <w:rsid w:val="003B6848"/>
    <w:rsid w:val="003C6985"/>
    <w:rsid w:val="003C75E2"/>
    <w:rsid w:val="003C7D99"/>
    <w:rsid w:val="003D0DAC"/>
    <w:rsid w:val="003D1786"/>
    <w:rsid w:val="003D3115"/>
    <w:rsid w:val="003E682D"/>
    <w:rsid w:val="003E7C48"/>
    <w:rsid w:val="003F22AB"/>
    <w:rsid w:val="003F22E0"/>
    <w:rsid w:val="003F647B"/>
    <w:rsid w:val="0040057D"/>
    <w:rsid w:val="00401E49"/>
    <w:rsid w:val="004025DE"/>
    <w:rsid w:val="004057D6"/>
    <w:rsid w:val="004118F7"/>
    <w:rsid w:val="00411C17"/>
    <w:rsid w:val="00411CDA"/>
    <w:rsid w:val="004126F9"/>
    <w:rsid w:val="00421338"/>
    <w:rsid w:val="00422ECE"/>
    <w:rsid w:val="004257F8"/>
    <w:rsid w:val="00426823"/>
    <w:rsid w:val="00427F85"/>
    <w:rsid w:val="0044446E"/>
    <w:rsid w:val="0044449A"/>
    <w:rsid w:val="00454FC1"/>
    <w:rsid w:val="00461650"/>
    <w:rsid w:val="004717A9"/>
    <w:rsid w:val="00471DDD"/>
    <w:rsid w:val="00486146"/>
    <w:rsid w:val="004A6B04"/>
    <w:rsid w:val="004B4232"/>
    <w:rsid w:val="004C4DF2"/>
    <w:rsid w:val="004C6ADA"/>
    <w:rsid w:val="004D1F55"/>
    <w:rsid w:val="004D2E17"/>
    <w:rsid w:val="004D3130"/>
    <w:rsid w:val="004E1BE1"/>
    <w:rsid w:val="004F0B5A"/>
    <w:rsid w:val="004F53CF"/>
    <w:rsid w:val="004F5EDB"/>
    <w:rsid w:val="00500A21"/>
    <w:rsid w:val="00504234"/>
    <w:rsid w:val="0050648B"/>
    <w:rsid w:val="00506801"/>
    <w:rsid w:val="00510F56"/>
    <w:rsid w:val="00512267"/>
    <w:rsid w:val="00514223"/>
    <w:rsid w:val="00520167"/>
    <w:rsid w:val="005226C4"/>
    <w:rsid w:val="00532C4F"/>
    <w:rsid w:val="00536029"/>
    <w:rsid w:val="005456FC"/>
    <w:rsid w:val="0054770C"/>
    <w:rsid w:val="005520F1"/>
    <w:rsid w:val="00552326"/>
    <w:rsid w:val="00553D6E"/>
    <w:rsid w:val="005610B5"/>
    <w:rsid w:val="005707F7"/>
    <w:rsid w:val="00576B23"/>
    <w:rsid w:val="005770B1"/>
    <w:rsid w:val="00577722"/>
    <w:rsid w:val="0058335A"/>
    <w:rsid w:val="005837B9"/>
    <w:rsid w:val="0058616B"/>
    <w:rsid w:val="00586A54"/>
    <w:rsid w:val="00586A8F"/>
    <w:rsid w:val="005912A9"/>
    <w:rsid w:val="00591B11"/>
    <w:rsid w:val="005A7663"/>
    <w:rsid w:val="005B0C1F"/>
    <w:rsid w:val="005B215A"/>
    <w:rsid w:val="005B230B"/>
    <w:rsid w:val="005B275F"/>
    <w:rsid w:val="005B45D3"/>
    <w:rsid w:val="005B703F"/>
    <w:rsid w:val="005B75A0"/>
    <w:rsid w:val="005D0254"/>
    <w:rsid w:val="005D191A"/>
    <w:rsid w:val="005D36F9"/>
    <w:rsid w:val="005D3DEB"/>
    <w:rsid w:val="005E6D0B"/>
    <w:rsid w:val="005F2984"/>
    <w:rsid w:val="005F6503"/>
    <w:rsid w:val="0060261E"/>
    <w:rsid w:val="0060751D"/>
    <w:rsid w:val="0061035B"/>
    <w:rsid w:val="00613A99"/>
    <w:rsid w:val="00616A6A"/>
    <w:rsid w:val="0062358C"/>
    <w:rsid w:val="00626FEB"/>
    <w:rsid w:val="00627706"/>
    <w:rsid w:val="006368DE"/>
    <w:rsid w:val="0064715C"/>
    <w:rsid w:val="006565FE"/>
    <w:rsid w:val="00662D08"/>
    <w:rsid w:val="00665E53"/>
    <w:rsid w:val="00671FF4"/>
    <w:rsid w:val="00673C84"/>
    <w:rsid w:val="0067658A"/>
    <w:rsid w:val="006769BB"/>
    <w:rsid w:val="00676F39"/>
    <w:rsid w:val="006851D1"/>
    <w:rsid w:val="0069019D"/>
    <w:rsid w:val="00690F59"/>
    <w:rsid w:val="006913B3"/>
    <w:rsid w:val="00692C9D"/>
    <w:rsid w:val="00694675"/>
    <w:rsid w:val="00695FA7"/>
    <w:rsid w:val="006A1E3B"/>
    <w:rsid w:val="006A4ABD"/>
    <w:rsid w:val="006A5A15"/>
    <w:rsid w:val="006A6569"/>
    <w:rsid w:val="006A7E0E"/>
    <w:rsid w:val="006B479B"/>
    <w:rsid w:val="006B5615"/>
    <w:rsid w:val="006B7051"/>
    <w:rsid w:val="006C7302"/>
    <w:rsid w:val="006D0034"/>
    <w:rsid w:val="006D37C6"/>
    <w:rsid w:val="006D5A1B"/>
    <w:rsid w:val="006D746B"/>
    <w:rsid w:val="006E1CBA"/>
    <w:rsid w:val="006E2C8E"/>
    <w:rsid w:val="006E36FD"/>
    <w:rsid w:val="006E7563"/>
    <w:rsid w:val="006F2D60"/>
    <w:rsid w:val="00701F68"/>
    <w:rsid w:val="00707030"/>
    <w:rsid w:val="007076DA"/>
    <w:rsid w:val="007120F8"/>
    <w:rsid w:val="00720E30"/>
    <w:rsid w:val="00721A1B"/>
    <w:rsid w:val="00722D38"/>
    <w:rsid w:val="0072391A"/>
    <w:rsid w:val="007323A0"/>
    <w:rsid w:val="00732C8D"/>
    <w:rsid w:val="007402AA"/>
    <w:rsid w:val="007447C2"/>
    <w:rsid w:val="007471D0"/>
    <w:rsid w:val="00755AA3"/>
    <w:rsid w:val="00756DE7"/>
    <w:rsid w:val="00761728"/>
    <w:rsid w:val="00761D67"/>
    <w:rsid w:val="00765857"/>
    <w:rsid w:val="00770456"/>
    <w:rsid w:val="00772830"/>
    <w:rsid w:val="00782FB7"/>
    <w:rsid w:val="00793346"/>
    <w:rsid w:val="007935D1"/>
    <w:rsid w:val="007A219B"/>
    <w:rsid w:val="007A3E61"/>
    <w:rsid w:val="007B4F86"/>
    <w:rsid w:val="007C0012"/>
    <w:rsid w:val="007C2562"/>
    <w:rsid w:val="007C282A"/>
    <w:rsid w:val="007C586F"/>
    <w:rsid w:val="007D2C05"/>
    <w:rsid w:val="007D5709"/>
    <w:rsid w:val="007E4FE0"/>
    <w:rsid w:val="007E7E89"/>
    <w:rsid w:val="007F0508"/>
    <w:rsid w:val="007F17CB"/>
    <w:rsid w:val="007F2A11"/>
    <w:rsid w:val="007F31B3"/>
    <w:rsid w:val="007F39B7"/>
    <w:rsid w:val="007F74FD"/>
    <w:rsid w:val="00805160"/>
    <w:rsid w:val="00810E27"/>
    <w:rsid w:val="00813131"/>
    <w:rsid w:val="00816816"/>
    <w:rsid w:val="00821806"/>
    <w:rsid w:val="008275F5"/>
    <w:rsid w:val="00827BDB"/>
    <w:rsid w:val="008333C0"/>
    <w:rsid w:val="00833641"/>
    <w:rsid w:val="0083401F"/>
    <w:rsid w:val="00834FE2"/>
    <w:rsid w:val="008370A0"/>
    <w:rsid w:val="00837BF6"/>
    <w:rsid w:val="0085325D"/>
    <w:rsid w:val="00876730"/>
    <w:rsid w:val="00887455"/>
    <w:rsid w:val="0089291B"/>
    <w:rsid w:val="0089349E"/>
    <w:rsid w:val="00893AF8"/>
    <w:rsid w:val="008A6049"/>
    <w:rsid w:val="008B4F3C"/>
    <w:rsid w:val="008D3B20"/>
    <w:rsid w:val="008D5682"/>
    <w:rsid w:val="008D5AB0"/>
    <w:rsid w:val="008E04D9"/>
    <w:rsid w:val="008E5EAF"/>
    <w:rsid w:val="008F1D26"/>
    <w:rsid w:val="008F39AA"/>
    <w:rsid w:val="008F5876"/>
    <w:rsid w:val="009001A0"/>
    <w:rsid w:val="0090160A"/>
    <w:rsid w:val="00904614"/>
    <w:rsid w:val="009074CC"/>
    <w:rsid w:val="00911513"/>
    <w:rsid w:val="009115A1"/>
    <w:rsid w:val="00914322"/>
    <w:rsid w:val="009144FA"/>
    <w:rsid w:val="00921B94"/>
    <w:rsid w:val="00926A48"/>
    <w:rsid w:val="00926A61"/>
    <w:rsid w:val="009272E7"/>
    <w:rsid w:val="00932027"/>
    <w:rsid w:val="009543AB"/>
    <w:rsid w:val="00954A53"/>
    <w:rsid w:val="00955194"/>
    <w:rsid w:val="009572DA"/>
    <w:rsid w:val="00972B1B"/>
    <w:rsid w:val="00974BF2"/>
    <w:rsid w:val="00974DA0"/>
    <w:rsid w:val="0097565B"/>
    <w:rsid w:val="00975A65"/>
    <w:rsid w:val="009835E1"/>
    <w:rsid w:val="00983952"/>
    <w:rsid w:val="00990686"/>
    <w:rsid w:val="00991F2D"/>
    <w:rsid w:val="009A5E83"/>
    <w:rsid w:val="009A6C2D"/>
    <w:rsid w:val="009B3844"/>
    <w:rsid w:val="009B653B"/>
    <w:rsid w:val="009C23F5"/>
    <w:rsid w:val="009D14C9"/>
    <w:rsid w:val="009D29EB"/>
    <w:rsid w:val="009D2AD1"/>
    <w:rsid w:val="009D2C2B"/>
    <w:rsid w:val="009E1652"/>
    <w:rsid w:val="009F00AD"/>
    <w:rsid w:val="009F03B4"/>
    <w:rsid w:val="009F3C85"/>
    <w:rsid w:val="00A01B46"/>
    <w:rsid w:val="00A02A53"/>
    <w:rsid w:val="00A05EFC"/>
    <w:rsid w:val="00A13373"/>
    <w:rsid w:val="00A24FE2"/>
    <w:rsid w:val="00A2594C"/>
    <w:rsid w:val="00A30E9F"/>
    <w:rsid w:val="00A4268B"/>
    <w:rsid w:val="00A52598"/>
    <w:rsid w:val="00A526C5"/>
    <w:rsid w:val="00A52A7E"/>
    <w:rsid w:val="00A550D2"/>
    <w:rsid w:val="00A5540A"/>
    <w:rsid w:val="00A5608F"/>
    <w:rsid w:val="00A57925"/>
    <w:rsid w:val="00A651FD"/>
    <w:rsid w:val="00A670F9"/>
    <w:rsid w:val="00A67ACF"/>
    <w:rsid w:val="00A67DB2"/>
    <w:rsid w:val="00A73206"/>
    <w:rsid w:val="00A76B24"/>
    <w:rsid w:val="00A84A15"/>
    <w:rsid w:val="00A901BD"/>
    <w:rsid w:val="00A9084F"/>
    <w:rsid w:val="00A95B36"/>
    <w:rsid w:val="00A96224"/>
    <w:rsid w:val="00AA225D"/>
    <w:rsid w:val="00AA2E11"/>
    <w:rsid w:val="00AA3222"/>
    <w:rsid w:val="00AB2A92"/>
    <w:rsid w:val="00AB52E1"/>
    <w:rsid w:val="00AB64CE"/>
    <w:rsid w:val="00AC1E40"/>
    <w:rsid w:val="00AC2BB8"/>
    <w:rsid w:val="00AC2E74"/>
    <w:rsid w:val="00AC4598"/>
    <w:rsid w:val="00AC5A6C"/>
    <w:rsid w:val="00AD2394"/>
    <w:rsid w:val="00AD53FE"/>
    <w:rsid w:val="00AE1407"/>
    <w:rsid w:val="00AE35FE"/>
    <w:rsid w:val="00AE5C85"/>
    <w:rsid w:val="00AF2CB8"/>
    <w:rsid w:val="00AF4928"/>
    <w:rsid w:val="00AF6767"/>
    <w:rsid w:val="00B017C4"/>
    <w:rsid w:val="00B13547"/>
    <w:rsid w:val="00B13F10"/>
    <w:rsid w:val="00B227B6"/>
    <w:rsid w:val="00B25980"/>
    <w:rsid w:val="00B305A8"/>
    <w:rsid w:val="00B326B7"/>
    <w:rsid w:val="00B32EA2"/>
    <w:rsid w:val="00B358B5"/>
    <w:rsid w:val="00B35D64"/>
    <w:rsid w:val="00B3657E"/>
    <w:rsid w:val="00B4235C"/>
    <w:rsid w:val="00B43480"/>
    <w:rsid w:val="00B45542"/>
    <w:rsid w:val="00B474AB"/>
    <w:rsid w:val="00B505A1"/>
    <w:rsid w:val="00B51941"/>
    <w:rsid w:val="00B51EE0"/>
    <w:rsid w:val="00B70A6E"/>
    <w:rsid w:val="00B73588"/>
    <w:rsid w:val="00B74171"/>
    <w:rsid w:val="00B76BB1"/>
    <w:rsid w:val="00B7712A"/>
    <w:rsid w:val="00B82BEE"/>
    <w:rsid w:val="00B83355"/>
    <w:rsid w:val="00B873C7"/>
    <w:rsid w:val="00B87569"/>
    <w:rsid w:val="00B9174D"/>
    <w:rsid w:val="00BA32E1"/>
    <w:rsid w:val="00BA7EA2"/>
    <w:rsid w:val="00BB5BC6"/>
    <w:rsid w:val="00BB6C4D"/>
    <w:rsid w:val="00BC0406"/>
    <w:rsid w:val="00BC3F79"/>
    <w:rsid w:val="00BC6110"/>
    <w:rsid w:val="00BC744C"/>
    <w:rsid w:val="00BD21FE"/>
    <w:rsid w:val="00BE24AB"/>
    <w:rsid w:val="00BE345A"/>
    <w:rsid w:val="00BE4AF8"/>
    <w:rsid w:val="00BF4180"/>
    <w:rsid w:val="00BF42E0"/>
    <w:rsid w:val="00BF6A53"/>
    <w:rsid w:val="00C021B9"/>
    <w:rsid w:val="00C036AC"/>
    <w:rsid w:val="00C065A8"/>
    <w:rsid w:val="00C14333"/>
    <w:rsid w:val="00C24C3B"/>
    <w:rsid w:val="00C2693E"/>
    <w:rsid w:val="00C328A0"/>
    <w:rsid w:val="00C3532C"/>
    <w:rsid w:val="00C36C9F"/>
    <w:rsid w:val="00C36E03"/>
    <w:rsid w:val="00C50C62"/>
    <w:rsid w:val="00C5607C"/>
    <w:rsid w:val="00C56DF3"/>
    <w:rsid w:val="00C577F9"/>
    <w:rsid w:val="00C6152C"/>
    <w:rsid w:val="00C61BC7"/>
    <w:rsid w:val="00C637C2"/>
    <w:rsid w:val="00C63C32"/>
    <w:rsid w:val="00C75589"/>
    <w:rsid w:val="00C84509"/>
    <w:rsid w:val="00C845FF"/>
    <w:rsid w:val="00C90001"/>
    <w:rsid w:val="00C9015F"/>
    <w:rsid w:val="00C90562"/>
    <w:rsid w:val="00C95DBA"/>
    <w:rsid w:val="00CA1A5D"/>
    <w:rsid w:val="00CA7A84"/>
    <w:rsid w:val="00CB0EA8"/>
    <w:rsid w:val="00CB0F74"/>
    <w:rsid w:val="00CB188E"/>
    <w:rsid w:val="00CB23E1"/>
    <w:rsid w:val="00CB290D"/>
    <w:rsid w:val="00CB2E3E"/>
    <w:rsid w:val="00CB6502"/>
    <w:rsid w:val="00CC0742"/>
    <w:rsid w:val="00CC0DCB"/>
    <w:rsid w:val="00CC278A"/>
    <w:rsid w:val="00CC3B77"/>
    <w:rsid w:val="00CC4713"/>
    <w:rsid w:val="00CC52F3"/>
    <w:rsid w:val="00CD2BF5"/>
    <w:rsid w:val="00CE2869"/>
    <w:rsid w:val="00CE5A29"/>
    <w:rsid w:val="00CF320A"/>
    <w:rsid w:val="00CF355A"/>
    <w:rsid w:val="00CF5EE1"/>
    <w:rsid w:val="00D04D92"/>
    <w:rsid w:val="00D04FB2"/>
    <w:rsid w:val="00D1183F"/>
    <w:rsid w:val="00D14912"/>
    <w:rsid w:val="00D21B92"/>
    <w:rsid w:val="00D31206"/>
    <w:rsid w:val="00D41314"/>
    <w:rsid w:val="00D458A7"/>
    <w:rsid w:val="00D65F03"/>
    <w:rsid w:val="00D6659B"/>
    <w:rsid w:val="00D712F1"/>
    <w:rsid w:val="00D719EE"/>
    <w:rsid w:val="00D80192"/>
    <w:rsid w:val="00D85C7B"/>
    <w:rsid w:val="00D92178"/>
    <w:rsid w:val="00D9492F"/>
    <w:rsid w:val="00DA062D"/>
    <w:rsid w:val="00DA5B4A"/>
    <w:rsid w:val="00DA6919"/>
    <w:rsid w:val="00DB4C1D"/>
    <w:rsid w:val="00DC1692"/>
    <w:rsid w:val="00DC381F"/>
    <w:rsid w:val="00DC3F54"/>
    <w:rsid w:val="00DD4E86"/>
    <w:rsid w:val="00DD53BE"/>
    <w:rsid w:val="00DE0E0D"/>
    <w:rsid w:val="00DE2380"/>
    <w:rsid w:val="00DE5056"/>
    <w:rsid w:val="00DF120E"/>
    <w:rsid w:val="00DF2D3D"/>
    <w:rsid w:val="00DF519B"/>
    <w:rsid w:val="00DF661C"/>
    <w:rsid w:val="00DF7CDF"/>
    <w:rsid w:val="00E0095C"/>
    <w:rsid w:val="00E01191"/>
    <w:rsid w:val="00E017AB"/>
    <w:rsid w:val="00E06B4A"/>
    <w:rsid w:val="00E1165E"/>
    <w:rsid w:val="00E20669"/>
    <w:rsid w:val="00E210AC"/>
    <w:rsid w:val="00E25DD1"/>
    <w:rsid w:val="00E275AC"/>
    <w:rsid w:val="00E33700"/>
    <w:rsid w:val="00E37EB2"/>
    <w:rsid w:val="00E4070F"/>
    <w:rsid w:val="00E507B6"/>
    <w:rsid w:val="00E51332"/>
    <w:rsid w:val="00E56BD8"/>
    <w:rsid w:val="00E65D85"/>
    <w:rsid w:val="00E66255"/>
    <w:rsid w:val="00E70539"/>
    <w:rsid w:val="00E739FF"/>
    <w:rsid w:val="00E77984"/>
    <w:rsid w:val="00E8459E"/>
    <w:rsid w:val="00E90EDE"/>
    <w:rsid w:val="00E94BA9"/>
    <w:rsid w:val="00E95D3A"/>
    <w:rsid w:val="00E97BEA"/>
    <w:rsid w:val="00EA0741"/>
    <w:rsid w:val="00EA4E57"/>
    <w:rsid w:val="00EA69C3"/>
    <w:rsid w:val="00EB1AE0"/>
    <w:rsid w:val="00EB37EC"/>
    <w:rsid w:val="00EB3C9A"/>
    <w:rsid w:val="00EB3F85"/>
    <w:rsid w:val="00EB63B5"/>
    <w:rsid w:val="00EB7EEB"/>
    <w:rsid w:val="00EC692B"/>
    <w:rsid w:val="00ED1BE0"/>
    <w:rsid w:val="00ED7ACD"/>
    <w:rsid w:val="00EE7881"/>
    <w:rsid w:val="00EF1ABB"/>
    <w:rsid w:val="00F01B1E"/>
    <w:rsid w:val="00F1229E"/>
    <w:rsid w:val="00F15C0D"/>
    <w:rsid w:val="00F166B7"/>
    <w:rsid w:val="00F20FC8"/>
    <w:rsid w:val="00F217F0"/>
    <w:rsid w:val="00F24284"/>
    <w:rsid w:val="00F303EA"/>
    <w:rsid w:val="00F32513"/>
    <w:rsid w:val="00F32EF8"/>
    <w:rsid w:val="00F36879"/>
    <w:rsid w:val="00F41B1B"/>
    <w:rsid w:val="00F44EC2"/>
    <w:rsid w:val="00F53053"/>
    <w:rsid w:val="00F542C4"/>
    <w:rsid w:val="00F5641C"/>
    <w:rsid w:val="00F57304"/>
    <w:rsid w:val="00F61EAD"/>
    <w:rsid w:val="00F62F8E"/>
    <w:rsid w:val="00F71E9E"/>
    <w:rsid w:val="00F7303B"/>
    <w:rsid w:val="00F82840"/>
    <w:rsid w:val="00F90C9A"/>
    <w:rsid w:val="00F910EC"/>
    <w:rsid w:val="00F928FF"/>
    <w:rsid w:val="00F96BE2"/>
    <w:rsid w:val="00F97974"/>
    <w:rsid w:val="00F97E9C"/>
    <w:rsid w:val="00FA0FEC"/>
    <w:rsid w:val="00FA1B46"/>
    <w:rsid w:val="00FA1B9F"/>
    <w:rsid w:val="00FA1D2E"/>
    <w:rsid w:val="00FA64B5"/>
    <w:rsid w:val="00FA6798"/>
    <w:rsid w:val="00FB5DC0"/>
    <w:rsid w:val="00FB633F"/>
    <w:rsid w:val="00FC5339"/>
    <w:rsid w:val="00FD7C0E"/>
    <w:rsid w:val="05395D6B"/>
    <w:rsid w:val="103D7BD2"/>
    <w:rsid w:val="16B518FD"/>
    <w:rsid w:val="18D99517"/>
    <w:rsid w:val="1C427F4E"/>
    <w:rsid w:val="21178408"/>
    <w:rsid w:val="2FC22E3F"/>
    <w:rsid w:val="32BD9A31"/>
    <w:rsid w:val="3560D927"/>
    <w:rsid w:val="35AE491C"/>
    <w:rsid w:val="372270E2"/>
    <w:rsid w:val="42AA6D24"/>
    <w:rsid w:val="4715CA33"/>
    <w:rsid w:val="54F36C92"/>
    <w:rsid w:val="59880528"/>
    <w:rsid w:val="5A5E3F91"/>
    <w:rsid w:val="5CCCBD02"/>
    <w:rsid w:val="5E26E7B3"/>
    <w:rsid w:val="6EAC0A96"/>
    <w:rsid w:val="6EC228D8"/>
    <w:rsid w:val="6EC765F4"/>
    <w:rsid w:val="70D54A7F"/>
    <w:rsid w:val="718E60EE"/>
    <w:rsid w:val="74139F84"/>
    <w:rsid w:val="74A9C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6A36C"/>
  <w15:docId w15:val="{0EFD3154-0DC7-C147-907D-0D687D25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3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C9015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92C9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34"/>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unhideWhenUsed/>
    <w:rsid w:val="00506801"/>
    <w:rPr>
      <w:sz w:val="20"/>
      <w:szCs w:val="20"/>
    </w:rPr>
  </w:style>
  <w:style w:type="character" w:customStyle="1" w:styleId="CommentTextChar">
    <w:name w:val="Comment Text Char"/>
    <w:basedOn w:val="DefaultParagraphFont"/>
    <w:link w:val="CommentText"/>
    <w:uiPriority w:val="99"/>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174D"/>
    <w:rPr>
      <w:color w:val="0000FF"/>
      <w:u w:val="single"/>
    </w:rPr>
  </w:style>
  <w:style w:type="character" w:customStyle="1" w:styleId="ptext-">
    <w:name w:val="ptext-"/>
    <w:basedOn w:val="DefaultParagraphFont"/>
    <w:rsid w:val="00EA69C3"/>
  </w:style>
  <w:style w:type="character" w:customStyle="1" w:styleId="ptext-5800-14">
    <w:name w:val="ptext-5800-14"/>
    <w:basedOn w:val="DefaultParagraphFont"/>
    <w:rsid w:val="00EA69C3"/>
  </w:style>
  <w:style w:type="character" w:customStyle="1" w:styleId="Heading2Char">
    <w:name w:val="Heading 2 Char"/>
    <w:basedOn w:val="DefaultParagraphFont"/>
    <w:link w:val="Heading2"/>
    <w:uiPriority w:val="9"/>
    <w:semiHidden/>
    <w:rsid w:val="00C9015F"/>
    <w:rPr>
      <w:rFonts w:ascii="Times New Roman" w:eastAsia="Times New Roman" w:hAnsi="Times New Roman" w:cs="Times New Roman"/>
      <w:b/>
      <w:bCs/>
      <w:sz w:val="36"/>
      <w:szCs w:val="36"/>
    </w:rPr>
  </w:style>
  <w:style w:type="character" w:styleId="Emphasis">
    <w:name w:val="Emphasis"/>
    <w:basedOn w:val="DefaultParagraphFont"/>
    <w:uiPriority w:val="20"/>
    <w:qFormat/>
    <w:rsid w:val="00F542C4"/>
    <w:rPr>
      <w:i/>
      <w:iCs/>
    </w:rPr>
  </w:style>
  <w:style w:type="paragraph" w:styleId="NormalWeb">
    <w:name w:val="Normal (Web)"/>
    <w:basedOn w:val="Normal"/>
    <w:uiPriority w:val="99"/>
    <w:unhideWhenUsed/>
    <w:rsid w:val="00B32EA2"/>
    <w:pPr>
      <w:spacing w:before="100" w:beforeAutospacing="1" w:after="100" w:afterAutospacing="1"/>
    </w:pPr>
  </w:style>
  <w:style w:type="character" w:customStyle="1" w:styleId="highlighted">
    <w:name w:val="highlighted"/>
    <w:basedOn w:val="DefaultParagraphFont"/>
    <w:rsid w:val="000F0BA5"/>
  </w:style>
  <w:style w:type="character" w:customStyle="1" w:styleId="ssit">
    <w:name w:val="ss_it"/>
    <w:basedOn w:val="DefaultParagraphFont"/>
    <w:rsid w:val="000F0BA5"/>
  </w:style>
  <w:style w:type="numbering" w:customStyle="1" w:styleId="CurrentList1">
    <w:name w:val="Current List1"/>
    <w:uiPriority w:val="99"/>
    <w:rsid w:val="00AE5C85"/>
    <w:pPr>
      <w:numPr>
        <w:numId w:val="11"/>
      </w:numPr>
    </w:pPr>
  </w:style>
  <w:style w:type="character" w:customStyle="1" w:styleId="Heading1Char">
    <w:name w:val="Heading 1 Char"/>
    <w:basedOn w:val="DefaultParagraphFont"/>
    <w:link w:val="Heading1"/>
    <w:uiPriority w:val="9"/>
    <w:rsid w:val="00C3532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61650"/>
    <w:rPr>
      <w:color w:val="605E5C"/>
      <w:shd w:val="clear" w:color="auto" w:fill="E1DFDD"/>
    </w:rPr>
  </w:style>
  <w:style w:type="character" w:customStyle="1" w:styleId="Heading3Char">
    <w:name w:val="Heading 3 Char"/>
    <w:basedOn w:val="DefaultParagraphFont"/>
    <w:link w:val="Heading3"/>
    <w:uiPriority w:val="9"/>
    <w:semiHidden/>
    <w:rsid w:val="00692C9D"/>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755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793212984">
          <w:marLeft w:val="0"/>
          <w:marRight w:val="0"/>
          <w:marTop w:val="0"/>
          <w:marBottom w:val="0"/>
          <w:divBdr>
            <w:top w:val="none" w:sz="0" w:space="0" w:color="auto"/>
            <w:left w:val="none" w:sz="0" w:space="0" w:color="auto"/>
            <w:bottom w:val="none" w:sz="0" w:space="0" w:color="auto"/>
            <w:right w:val="none" w:sz="0" w:space="0" w:color="auto"/>
          </w:divBdr>
        </w:div>
        <w:div w:id="806124512">
          <w:marLeft w:val="0"/>
          <w:marRight w:val="0"/>
          <w:marTop w:val="0"/>
          <w:marBottom w:val="0"/>
          <w:divBdr>
            <w:top w:val="none" w:sz="0" w:space="0" w:color="auto"/>
            <w:left w:val="none" w:sz="0" w:space="0" w:color="auto"/>
            <w:bottom w:val="none" w:sz="0" w:space="0" w:color="auto"/>
            <w:right w:val="none" w:sz="0" w:space="0" w:color="auto"/>
          </w:divBdr>
        </w:div>
      </w:divsChild>
    </w:div>
    <w:div w:id="63333623">
      <w:bodyDiv w:val="1"/>
      <w:marLeft w:val="0"/>
      <w:marRight w:val="0"/>
      <w:marTop w:val="0"/>
      <w:marBottom w:val="0"/>
      <w:divBdr>
        <w:top w:val="none" w:sz="0" w:space="0" w:color="auto"/>
        <w:left w:val="none" w:sz="0" w:space="0" w:color="auto"/>
        <w:bottom w:val="none" w:sz="0" w:space="0" w:color="auto"/>
        <w:right w:val="none" w:sz="0" w:space="0" w:color="auto"/>
      </w:divBdr>
      <w:divsChild>
        <w:div w:id="1241257045">
          <w:marLeft w:val="0"/>
          <w:marRight w:val="0"/>
          <w:marTop w:val="0"/>
          <w:marBottom w:val="0"/>
          <w:divBdr>
            <w:top w:val="none" w:sz="0" w:space="0" w:color="auto"/>
            <w:left w:val="none" w:sz="0" w:space="0" w:color="auto"/>
            <w:bottom w:val="none" w:sz="0" w:space="0" w:color="auto"/>
            <w:right w:val="none" w:sz="0" w:space="0" w:color="auto"/>
          </w:divBdr>
        </w:div>
      </w:divsChild>
    </w:div>
    <w:div w:id="115954695">
      <w:bodyDiv w:val="1"/>
      <w:marLeft w:val="0"/>
      <w:marRight w:val="0"/>
      <w:marTop w:val="0"/>
      <w:marBottom w:val="0"/>
      <w:divBdr>
        <w:top w:val="none" w:sz="0" w:space="0" w:color="auto"/>
        <w:left w:val="none" w:sz="0" w:space="0" w:color="auto"/>
        <w:bottom w:val="none" w:sz="0" w:space="0" w:color="auto"/>
        <w:right w:val="none" w:sz="0" w:space="0" w:color="auto"/>
      </w:divBdr>
      <w:divsChild>
        <w:div w:id="2004357197">
          <w:marLeft w:val="0"/>
          <w:marRight w:val="0"/>
          <w:marTop w:val="0"/>
          <w:marBottom w:val="0"/>
          <w:divBdr>
            <w:top w:val="none" w:sz="0" w:space="0" w:color="auto"/>
            <w:left w:val="none" w:sz="0" w:space="0" w:color="auto"/>
            <w:bottom w:val="none" w:sz="0" w:space="0" w:color="auto"/>
            <w:right w:val="none" w:sz="0" w:space="0" w:color="auto"/>
          </w:divBdr>
        </w:div>
        <w:div w:id="1707287787">
          <w:marLeft w:val="0"/>
          <w:marRight w:val="0"/>
          <w:marTop w:val="0"/>
          <w:marBottom w:val="0"/>
          <w:divBdr>
            <w:top w:val="none" w:sz="0" w:space="0" w:color="auto"/>
            <w:left w:val="none" w:sz="0" w:space="0" w:color="auto"/>
            <w:bottom w:val="none" w:sz="0" w:space="0" w:color="auto"/>
            <w:right w:val="none" w:sz="0" w:space="0" w:color="auto"/>
          </w:divBdr>
        </w:div>
        <w:div w:id="1483815168">
          <w:marLeft w:val="0"/>
          <w:marRight w:val="0"/>
          <w:marTop w:val="0"/>
          <w:marBottom w:val="0"/>
          <w:divBdr>
            <w:top w:val="none" w:sz="0" w:space="0" w:color="auto"/>
            <w:left w:val="none" w:sz="0" w:space="0" w:color="auto"/>
            <w:bottom w:val="none" w:sz="0" w:space="0" w:color="auto"/>
            <w:right w:val="none" w:sz="0" w:space="0" w:color="auto"/>
          </w:divBdr>
        </w:div>
        <w:div w:id="1491098661">
          <w:marLeft w:val="0"/>
          <w:marRight w:val="0"/>
          <w:marTop w:val="0"/>
          <w:marBottom w:val="0"/>
          <w:divBdr>
            <w:top w:val="none" w:sz="0" w:space="0" w:color="auto"/>
            <w:left w:val="none" w:sz="0" w:space="0" w:color="auto"/>
            <w:bottom w:val="none" w:sz="0" w:space="0" w:color="auto"/>
            <w:right w:val="none" w:sz="0" w:space="0" w:color="auto"/>
          </w:divBdr>
        </w:div>
        <w:div w:id="685138008">
          <w:marLeft w:val="0"/>
          <w:marRight w:val="0"/>
          <w:marTop w:val="0"/>
          <w:marBottom w:val="0"/>
          <w:divBdr>
            <w:top w:val="none" w:sz="0" w:space="0" w:color="auto"/>
            <w:left w:val="none" w:sz="0" w:space="0" w:color="auto"/>
            <w:bottom w:val="none" w:sz="0" w:space="0" w:color="auto"/>
            <w:right w:val="none" w:sz="0" w:space="0" w:color="auto"/>
          </w:divBdr>
        </w:div>
        <w:div w:id="857042474">
          <w:marLeft w:val="0"/>
          <w:marRight w:val="0"/>
          <w:marTop w:val="0"/>
          <w:marBottom w:val="0"/>
          <w:divBdr>
            <w:top w:val="none" w:sz="0" w:space="0" w:color="auto"/>
            <w:left w:val="none" w:sz="0" w:space="0" w:color="auto"/>
            <w:bottom w:val="none" w:sz="0" w:space="0" w:color="auto"/>
            <w:right w:val="none" w:sz="0" w:space="0" w:color="auto"/>
          </w:divBdr>
        </w:div>
        <w:div w:id="1823497512">
          <w:marLeft w:val="0"/>
          <w:marRight w:val="0"/>
          <w:marTop w:val="0"/>
          <w:marBottom w:val="0"/>
          <w:divBdr>
            <w:top w:val="none" w:sz="0" w:space="0" w:color="auto"/>
            <w:left w:val="none" w:sz="0" w:space="0" w:color="auto"/>
            <w:bottom w:val="none" w:sz="0" w:space="0" w:color="auto"/>
            <w:right w:val="none" w:sz="0" w:space="0" w:color="auto"/>
          </w:divBdr>
        </w:div>
        <w:div w:id="2006276327">
          <w:marLeft w:val="0"/>
          <w:marRight w:val="0"/>
          <w:marTop w:val="0"/>
          <w:marBottom w:val="0"/>
          <w:divBdr>
            <w:top w:val="none" w:sz="0" w:space="0" w:color="auto"/>
            <w:left w:val="none" w:sz="0" w:space="0" w:color="auto"/>
            <w:bottom w:val="none" w:sz="0" w:space="0" w:color="auto"/>
            <w:right w:val="none" w:sz="0" w:space="0" w:color="auto"/>
          </w:divBdr>
        </w:div>
        <w:div w:id="1021007918">
          <w:marLeft w:val="0"/>
          <w:marRight w:val="0"/>
          <w:marTop w:val="0"/>
          <w:marBottom w:val="0"/>
          <w:divBdr>
            <w:top w:val="none" w:sz="0" w:space="0" w:color="auto"/>
            <w:left w:val="none" w:sz="0" w:space="0" w:color="auto"/>
            <w:bottom w:val="none" w:sz="0" w:space="0" w:color="auto"/>
            <w:right w:val="none" w:sz="0" w:space="0" w:color="auto"/>
          </w:divBdr>
        </w:div>
        <w:div w:id="176310178">
          <w:marLeft w:val="0"/>
          <w:marRight w:val="0"/>
          <w:marTop w:val="0"/>
          <w:marBottom w:val="0"/>
          <w:divBdr>
            <w:top w:val="none" w:sz="0" w:space="0" w:color="auto"/>
            <w:left w:val="none" w:sz="0" w:space="0" w:color="auto"/>
            <w:bottom w:val="none" w:sz="0" w:space="0" w:color="auto"/>
            <w:right w:val="none" w:sz="0" w:space="0" w:color="auto"/>
          </w:divBdr>
        </w:div>
        <w:div w:id="830868424">
          <w:marLeft w:val="0"/>
          <w:marRight w:val="0"/>
          <w:marTop w:val="0"/>
          <w:marBottom w:val="0"/>
          <w:divBdr>
            <w:top w:val="none" w:sz="0" w:space="0" w:color="auto"/>
            <w:left w:val="none" w:sz="0" w:space="0" w:color="auto"/>
            <w:bottom w:val="none" w:sz="0" w:space="0" w:color="auto"/>
            <w:right w:val="none" w:sz="0" w:space="0" w:color="auto"/>
          </w:divBdr>
        </w:div>
        <w:div w:id="367416220">
          <w:marLeft w:val="0"/>
          <w:marRight w:val="0"/>
          <w:marTop w:val="0"/>
          <w:marBottom w:val="0"/>
          <w:divBdr>
            <w:top w:val="none" w:sz="0" w:space="0" w:color="auto"/>
            <w:left w:val="none" w:sz="0" w:space="0" w:color="auto"/>
            <w:bottom w:val="none" w:sz="0" w:space="0" w:color="auto"/>
            <w:right w:val="none" w:sz="0" w:space="0" w:color="auto"/>
          </w:divBdr>
        </w:div>
        <w:div w:id="444076895">
          <w:marLeft w:val="0"/>
          <w:marRight w:val="0"/>
          <w:marTop w:val="0"/>
          <w:marBottom w:val="0"/>
          <w:divBdr>
            <w:top w:val="none" w:sz="0" w:space="0" w:color="auto"/>
            <w:left w:val="none" w:sz="0" w:space="0" w:color="auto"/>
            <w:bottom w:val="none" w:sz="0" w:space="0" w:color="auto"/>
            <w:right w:val="none" w:sz="0" w:space="0" w:color="auto"/>
          </w:divBdr>
        </w:div>
        <w:div w:id="829754652">
          <w:marLeft w:val="0"/>
          <w:marRight w:val="0"/>
          <w:marTop w:val="0"/>
          <w:marBottom w:val="0"/>
          <w:divBdr>
            <w:top w:val="none" w:sz="0" w:space="0" w:color="auto"/>
            <w:left w:val="none" w:sz="0" w:space="0" w:color="auto"/>
            <w:bottom w:val="none" w:sz="0" w:space="0" w:color="auto"/>
            <w:right w:val="none" w:sz="0" w:space="0" w:color="auto"/>
          </w:divBdr>
        </w:div>
        <w:div w:id="1796487651">
          <w:marLeft w:val="0"/>
          <w:marRight w:val="0"/>
          <w:marTop w:val="0"/>
          <w:marBottom w:val="0"/>
          <w:divBdr>
            <w:top w:val="none" w:sz="0" w:space="0" w:color="auto"/>
            <w:left w:val="none" w:sz="0" w:space="0" w:color="auto"/>
            <w:bottom w:val="none" w:sz="0" w:space="0" w:color="auto"/>
            <w:right w:val="none" w:sz="0" w:space="0" w:color="auto"/>
          </w:divBdr>
        </w:div>
        <w:div w:id="1192186183">
          <w:marLeft w:val="0"/>
          <w:marRight w:val="0"/>
          <w:marTop w:val="0"/>
          <w:marBottom w:val="0"/>
          <w:divBdr>
            <w:top w:val="none" w:sz="0" w:space="0" w:color="auto"/>
            <w:left w:val="none" w:sz="0" w:space="0" w:color="auto"/>
            <w:bottom w:val="none" w:sz="0" w:space="0" w:color="auto"/>
            <w:right w:val="none" w:sz="0" w:space="0" w:color="auto"/>
          </w:divBdr>
        </w:div>
        <w:div w:id="862404168">
          <w:marLeft w:val="0"/>
          <w:marRight w:val="0"/>
          <w:marTop w:val="0"/>
          <w:marBottom w:val="0"/>
          <w:divBdr>
            <w:top w:val="none" w:sz="0" w:space="0" w:color="auto"/>
            <w:left w:val="none" w:sz="0" w:space="0" w:color="auto"/>
            <w:bottom w:val="none" w:sz="0" w:space="0" w:color="auto"/>
            <w:right w:val="none" w:sz="0" w:space="0" w:color="auto"/>
          </w:divBdr>
        </w:div>
        <w:div w:id="1828016831">
          <w:marLeft w:val="0"/>
          <w:marRight w:val="0"/>
          <w:marTop w:val="0"/>
          <w:marBottom w:val="0"/>
          <w:divBdr>
            <w:top w:val="none" w:sz="0" w:space="0" w:color="auto"/>
            <w:left w:val="none" w:sz="0" w:space="0" w:color="auto"/>
            <w:bottom w:val="none" w:sz="0" w:space="0" w:color="auto"/>
            <w:right w:val="none" w:sz="0" w:space="0" w:color="auto"/>
          </w:divBdr>
        </w:div>
        <w:div w:id="252393773">
          <w:marLeft w:val="0"/>
          <w:marRight w:val="0"/>
          <w:marTop w:val="0"/>
          <w:marBottom w:val="0"/>
          <w:divBdr>
            <w:top w:val="none" w:sz="0" w:space="0" w:color="auto"/>
            <w:left w:val="none" w:sz="0" w:space="0" w:color="auto"/>
            <w:bottom w:val="none" w:sz="0" w:space="0" w:color="auto"/>
            <w:right w:val="none" w:sz="0" w:space="0" w:color="auto"/>
          </w:divBdr>
        </w:div>
      </w:divsChild>
    </w:div>
    <w:div w:id="137646544">
      <w:bodyDiv w:val="1"/>
      <w:marLeft w:val="0"/>
      <w:marRight w:val="0"/>
      <w:marTop w:val="0"/>
      <w:marBottom w:val="0"/>
      <w:divBdr>
        <w:top w:val="none" w:sz="0" w:space="0" w:color="auto"/>
        <w:left w:val="none" w:sz="0" w:space="0" w:color="auto"/>
        <w:bottom w:val="none" w:sz="0" w:space="0" w:color="auto"/>
        <w:right w:val="none" w:sz="0" w:space="0" w:color="auto"/>
      </w:divBdr>
    </w:div>
    <w:div w:id="161822502">
      <w:bodyDiv w:val="1"/>
      <w:marLeft w:val="0"/>
      <w:marRight w:val="0"/>
      <w:marTop w:val="0"/>
      <w:marBottom w:val="0"/>
      <w:divBdr>
        <w:top w:val="none" w:sz="0" w:space="0" w:color="auto"/>
        <w:left w:val="none" w:sz="0" w:space="0" w:color="auto"/>
        <w:bottom w:val="none" w:sz="0" w:space="0" w:color="auto"/>
        <w:right w:val="none" w:sz="0" w:space="0" w:color="auto"/>
      </w:divBdr>
    </w:div>
    <w:div w:id="322123559">
      <w:bodyDiv w:val="1"/>
      <w:marLeft w:val="0"/>
      <w:marRight w:val="0"/>
      <w:marTop w:val="0"/>
      <w:marBottom w:val="0"/>
      <w:divBdr>
        <w:top w:val="none" w:sz="0" w:space="0" w:color="auto"/>
        <w:left w:val="none" w:sz="0" w:space="0" w:color="auto"/>
        <w:bottom w:val="none" w:sz="0" w:space="0" w:color="auto"/>
        <w:right w:val="none" w:sz="0" w:space="0" w:color="auto"/>
      </w:divBdr>
      <w:divsChild>
        <w:div w:id="687830073">
          <w:marLeft w:val="0"/>
          <w:marRight w:val="0"/>
          <w:marTop w:val="0"/>
          <w:marBottom w:val="0"/>
          <w:divBdr>
            <w:top w:val="none" w:sz="0" w:space="0" w:color="auto"/>
            <w:left w:val="none" w:sz="0" w:space="0" w:color="auto"/>
            <w:bottom w:val="none" w:sz="0" w:space="0" w:color="auto"/>
            <w:right w:val="none" w:sz="0" w:space="0" w:color="auto"/>
          </w:divBdr>
        </w:div>
        <w:div w:id="1820532363">
          <w:marLeft w:val="0"/>
          <w:marRight w:val="0"/>
          <w:marTop w:val="0"/>
          <w:marBottom w:val="0"/>
          <w:divBdr>
            <w:top w:val="none" w:sz="0" w:space="0" w:color="auto"/>
            <w:left w:val="none" w:sz="0" w:space="0" w:color="auto"/>
            <w:bottom w:val="none" w:sz="0" w:space="0" w:color="auto"/>
            <w:right w:val="none" w:sz="0" w:space="0" w:color="auto"/>
          </w:divBdr>
        </w:div>
        <w:div w:id="1098990555">
          <w:marLeft w:val="0"/>
          <w:marRight w:val="0"/>
          <w:marTop w:val="0"/>
          <w:marBottom w:val="0"/>
          <w:divBdr>
            <w:top w:val="none" w:sz="0" w:space="0" w:color="auto"/>
            <w:left w:val="none" w:sz="0" w:space="0" w:color="auto"/>
            <w:bottom w:val="none" w:sz="0" w:space="0" w:color="auto"/>
            <w:right w:val="none" w:sz="0" w:space="0" w:color="auto"/>
          </w:divBdr>
        </w:div>
        <w:div w:id="1116870916">
          <w:marLeft w:val="0"/>
          <w:marRight w:val="0"/>
          <w:marTop w:val="0"/>
          <w:marBottom w:val="0"/>
          <w:divBdr>
            <w:top w:val="none" w:sz="0" w:space="0" w:color="auto"/>
            <w:left w:val="none" w:sz="0" w:space="0" w:color="auto"/>
            <w:bottom w:val="none" w:sz="0" w:space="0" w:color="auto"/>
            <w:right w:val="none" w:sz="0" w:space="0" w:color="auto"/>
          </w:divBdr>
        </w:div>
        <w:div w:id="1011955911">
          <w:marLeft w:val="0"/>
          <w:marRight w:val="0"/>
          <w:marTop w:val="0"/>
          <w:marBottom w:val="0"/>
          <w:divBdr>
            <w:top w:val="none" w:sz="0" w:space="0" w:color="auto"/>
            <w:left w:val="none" w:sz="0" w:space="0" w:color="auto"/>
            <w:bottom w:val="none" w:sz="0" w:space="0" w:color="auto"/>
            <w:right w:val="none" w:sz="0" w:space="0" w:color="auto"/>
          </w:divBdr>
        </w:div>
        <w:div w:id="996031385">
          <w:marLeft w:val="0"/>
          <w:marRight w:val="0"/>
          <w:marTop w:val="0"/>
          <w:marBottom w:val="0"/>
          <w:divBdr>
            <w:top w:val="none" w:sz="0" w:space="0" w:color="auto"/>
            <w:left w:val="none" w:sz="0" w:space="0" w:color="auto"/>
            <w:bottom w:val="none" w:sz="0" w:space="0" w:color="auto"/>
            <w:right w:val="none" w:sz="0" w:space="0" w:color="auto"/>
          </w:divBdr>
        </w:div>
        <w:div w:id="1731801388">
          <w:marLeft w:val="0"/>
          <w:marRight w:val="0"/>
          <w:marTop w:val="0"/>
          <w:marBottom w:val="0"/>
          <w:divBdr>
            <w:top w:val="none" w:sz="0" w:space="0" w:color="auto"/>
            <w:left w:val="none" w:sz="0" w:space="0" w:color="auto"/>
            <w:bottom w:val="none" w:sz="0" w:space="0" w:color="auto"/>
            <w:right w:val="none" w:sz="0" w:space="0" w:color="auto"/>
          </w:divBdr>
        </w:div>
        <w:div w:id="2026318823">
          <w:marLeft w:val="0"/>
          <w:marRight w:val="0"/>
          <w:marTop w:val="0"/>
          <w:marBottom w:val="0"/>
          <w:divBdr>
            <w:top w:val="none" w:sz="0" w:space="0" w:color="auto"/>
            <w:left w:val="none" w:sz="0" w:space="0" w:color="auto"/>
            <w:bottom w:val="none" w:sz="0" w:space="0" w:color="auto"/>
            <w:right w:val="none" w:sz="0" w:space="0" w:color="auto"/>
          </w:divBdr>
        </w:div>
        <w:div w:id="1654330416">
          <w:marLeft w:val="0"/>
          <w:marRight w:val="0"/>
          <w:marTop w:val="0"/>
          <w:marBottom w:val="0"/>
          <w:divBdr>
            <w:top w:val="none" w:sz="0" w:space="0" w:color="auto"/>
            <w:left w:val="none" w:sz="0" w:space="0" w:color="auto"/>
            <w:bottom w:val="none" w:sz="0" w:space="0" w:color="auto"/>
            <w:right w:val="none" w:sz="0" w:space="0" w:color="auto"/>
          </w:divBdr>
        </w:div>
      </w:divsChild>
    </w:div>
    <w:div w:id="340160524">
      <w:bodyDiv w:val="1"/>
      <w:marLeft w:val="0"/>
      <w:marRight w:val="0"/>
      <w:marTop w:val="0"/>
      <w:marBottom w:val="0"/>
      <w:divBdr>
        <w:top w:val="none" w:sz="0" w:space="0" w:color="auto"/>
        <w:left w:val="none" w:sz="0" w:space="0" w:color="auto"/>
        <w:bottom w:val="none" w:sz="0" w:space="0" w:color="auto"/>
        <w:right w:val="none" w:sz="0" w:space="0" w:color="auto"/>
      </w:divBdr>
      <w:divsChild>
        <w:div w:id="1499617779">
          <w:marLeft w:val="0"/>
          <w:marRight w:val="0"/>
          <w:marTop w:val="0"/>
          <w:marBottom w:val="0"/>
          <w:divBdr>
            <w:top w:val="none" w:sz="0" w:space="0" w:color="auto"/>
            <w:left w:val="none" w:sz="0" w:space="0" w:color="auto"/>
            <w:bottom w:val="none" w:sz="0" w:space="0" w:color="auto"/>
            <w:right w:val="none" w:sz="0" w:space="0" w:color="auto"/>
          </w:divBdr>
        </w:div>
        <w:div w:id="1424448943">
          <w:marLeft w:val="0"/>
          <w:marRight w:val="0"/>
          <w:marTop w:val="0"/>
          <w:marBottom w:val="0"/>
          <w:divBdr>
            <w:top w:val="none" w:sz="0" w:space="0" w:color="auto"/>
            <w:left w:val="none" w:sz="0" w:space="0" w:color="auto"/>
            <w:bottom w:val="none" w:sz="0" w:space="0" w:color="auto"/>
            <w:right w:val="none" w:sz="0" w:space="0" w:color="auto"/>
          </w:divBdr>
        </w:div>
        <w:div w:id="447747241">
          <w:marLeft w:val="0"/>
          <w:marRight w:val="0"/>
          <w:marTop w:val="0"/>
          <w:marBottom w:val="0"/>
          <w:divBdr>
            <w:top w:val="none" w:sz="0" w:space="0" w:color="auto"/>
            <w:left w:val="none" w:sz="0" w:space="0" w:color="auto"/>
            <w:bottom w:val="none" w:sz="0" w:space="0" w:color="auto"/>
            <w:right w:val="none" w:sz="0" w:space="0" w:color="auto"/>
          </w:divBdr>
        </w:div>
        <w:div w:id="782920303">
          <w:marLeft w:val="0"/>
          <w:marRight w:val="0"/>
          <w:marTop w:val="0"/>
          <w:marBottom w:val="0"/>
          <w:divBdr>
            <w:top w:val="none" w:sz="0" w:space="0" w:color="auto"/>
            <w:left w:val="none" w:sz="0" w:space="0" w:color="auto"/>
            <w:bottom w:val="none" w:sz="0" w:space="0" w:color="auto"/>
            <w:right w:val="none" w:sz="0" w:space="0" w:color="auto"/>
          </w:divBdr>
        </w:div>
        <w:div w:id="1596328541">
          <w:marLeft w:val="0"/>
          <w:marRight w:val="0"/>
          <w:marTop w:val="0"/>
          <w:marBottom w:val="0"/>
          <w:divBdr>
            <w:top w:val="none" w:sz="0" w:space="0" w:color="auto"/>
            <w:left w:val="none" w:sz="0" w:space="0" w:color="auto"/>
            <w:bottom w:val="none" w:sz="0" w:space="0" w:color="auto"/>
            <w:right w:val="none" w:sz="0" w:space="0" w:color="auto"/>
          </w:divBdr>
        </w:div>
      </w:divsChild>
    </w:div>
    <w:div w:id="365957756">
      <w:bodyDiv w:val="1"/>
      <w:marLeft w:val="0"/>
      <w:marRight w:val="0"/>
      <w:marTop w:val="0"/>
      <w:marBottom w:val="0"/>
      <w:divBdr>
        <w:top w:val="none" w:sz="0" w:space="0" w:color="auto"/>
        <w:left w:val="none" w:sz="0" w:space="0" w:color="auto"/>
        <w:bottom w:val="none" w:sz="0" w:space="0" w:color="auto"/>
        <w:right w:val="none" w:sz="0" w:space="0" w:color="auto"/>
      </w:divBdr>
      <w:divsChild>
        <w:div w:id="1472862659">
          <w:marLeft w:val="0"/>
          <w:marRight w:val="0"/>
          <w:marTop w:val="0"/>
          <w:marBottom w:val="0"/>
          <w:divBdr>
            <w:top w:val="none" w:sz="0" w:space="0" w:color="auto"/>
            <w:left w:val="none" w:sz="0" w:space="0" w:color="auto"/>
            <w:bottom w:val="none" w:sz="0" w:space="0" w:color="auto"/>
            <w:right w:val="none" w:sz="0" w:space="0" w:color="auto"/>
          </w:divBdr>
        </w:div>
        <w:div w:id="1714453338">
          <w:marLeft w:val="0"/>
          <w:marRight w:val="0"/>
          <w:marTop w:val="0"/>
          <w:marBottom w:val="0"/>
          <w:divBdr>
            <w:top w:val="none" w:sz="0" w:space="0" w:color="auto"/>
            <w:left w:val="none" w:sz="0" w:space="0" w:color="auto"/>
            <w:bottom w:val="none" w:sz="0" w:space="0" w:color="auto"/>
            <w:right w:val="none" w:sz="0" w:space="0" w:color="auto"/>
          </w:divBdr>
        </w:div>
        <w:div w:id="1764767022">
          <w:marLeft w:val="0"/>
          <w:marRight w:val="0"/>
          <w:marTop w:val="0"/>
          <w:marBottom w:val="0"/>
          <w:divBdr>
            <w:top w:val="none" w:sz="0" w:space="0" w:color="auto"/>
            <w:left w:val="none" w:sz="0" w:space="0" w:color="auto"/>
            <w:bottom w:val="none" w:sz="0" w:space="0" w:color="auto"/>
            <w:right w:val="none" w:sz="0" w:space="0" w:color="auto"/>
          </w:divBdr>
        </w:div>
        <w:div w:id="824123947">
          <w:marLeft w:val="0"/>
          <w:marRight w:val="0"/>
          <w:marTop w:val="0"/>
          <w:marBottom w:val="0"/>
          <w:divBdr>
            <w:top w:val="none" w:sz="0" w:space="0" w:color="auto"/>
            <w:left w:val="none" w:sz="0" w:space="0" w:color="auto"/>
            <w:bottom w:val="none" w:sz="0" w:space="0" w:color="auto"/>
            <w:right w:val="none" w:sz="0" w:space="0" w:color="auto"/>
          </w:divBdr>
        </w:div>
        <w:div w:id="1841457961">
          <w:marLeft w:val="0"/>
          <w:marRight w:val="0"/>
          <w:marTop w:val="0"/>
          <w:marBottom w:val="0"/>
          <w:divBdr>
            <w:top w:val="none" w:sz="0" w:space="0" w:color="auto"/>
            <w:left w:val="none" w:sz="0" w:space="0" w:color="auto"/>
            <w:bottom w:val="none" w:sz="0" w:space="0" w:color="auto"/>
            <w:right w:val="none" w:sz="0" w:space="0" w:color="auto"/>
          </w:divBdr>
        </w:div>
        <w:div w:id="766390312">
          <w:marLeft w:val="0"/>
          <w:marRight w:val="0"/>
          <w:marTop w:val="0"/>
          <w:marBottom w:val="0"/>
          <w:divBdr>
            <w:top w:val="none" w:sz="0" w:space="0" w:color="auto"/>
            <w:left w:val="none" w:sz="0" w:space="0" w:color="auto"/>
            <w:bottom w:val="none" w:sz="0" w:space="0" w:color="auto"/>
            <w:right w:val="none" w:sz="0" w:space="0" w:color="auto"/>
          </w:divBdr>
        </w:div>
      </w:divsChild>
    </w:div>
    <w:div w:id="413286196">
      <w:bodyDiv w:val="1"/>
      <w:marLeft w:val="0"/>
      <w:marRight w:val="0"/>
      <w:marTop w:val="0"/>
      <w:marBottom w:val="0"/>
      <w:divBdr>
        <w:top w:val="none" w:sz="0" w:space="0" w:color="auto"/>
        <w:left w:val="none" w:sz="0" w:space="0" w:color="auto"/>
        <w:bottom w:val="none" w:sz="0" w:space="0" w:color="auto"/>
        <w:right w:val="none" w:sz="0" w:space="0" w:color="auto"/>
      </w:divBdr>
      <w:divsChild>
        <w:div w:id="842403288">
          <w:marLeft w:val="0"/>
          <w:marRight w:val="0"/>
          <w:marTop w:val="0"/>
          <w:marBottom w:val="0"/>
          <w:divBdr>
            <w:top w:val="none" w:sz="0" w:space="0" w:color="auto"/>
            <w:left w:val="none" w:sz="0" w:space="0" w:color="auto"/>
            <w:bottom w:val="none" w:sz="0" w:space="0" w:color="auto"/>
            <w:right w:val="none" w:sz="0" w:space="0" w:color="auto"/>
          </w:divBdr>
        </w:div>
      </w:divsChild>
    </w:div>
    <w:div w:id="437068490">
      <w:bodyDiv w:val="1"/>
      <w:marLeft w:val="0"/>
      <w:marRight w:val="0"/>
      <w:marTop w:val="0"/>
      <w:marBottom w:val="0"/>
      <w:divBdr>
        <w:top w:val="none" w:sz="0" w:space="0" w:color="auto"/>
        <w:left w:val="none" w:sz="0" w:space="0" w:color="auto"/>
        <w:bottom w:val="none" w:sz="0" w:space="0" w:color="auto"/>
        <w:right w:val="none" w:sz="0" w:space="0" w:color="auto"/>
      </w:divBdr>
    </w:div>
    <w:div w:id="495804636">
      <w:bodyDiv w:val="1"/>
      <w:marLeft w:val="0"/>
      <w:marRight w:val="0"/>
      <w:marTop w:val="0"/>
      <w:marBottom w:val="0"/>
      <w:divBdr>
        <w:top w:val="none" w:sz="0" w:space="0" w:color="auto"/>
        <w:left w:val="none" w:sz="0" w:space="0" w:color="auto"/>
        <w:bottom w:val="none" w:sz="0" w:space="0" w:color="auto"/>
        <w:right w:val="none" w:sz="0" w:space="0" w:color="auto"/>
      </w:divBdr>
      <w:divsChild>
        <w:div w:id="773482847">
          <w:marLeft w:val="0"/>
          <w:marRight w:val="0"/>
          <w:marTop w:val="0"/>
          <w:marBottom w:val="0"/>
          <w:divBdr>
            <w:top w:val="none" w:sz="0" w:space="0" w:color="auto"/>
            <w:left w:val="none" w:sz="0" w:space="0" w:color="auto"/>
            <w:bottom w:val="none" w:sz="0" w:space="0" w:color="auto"/>
            <w:right w:val="none" w:sz="0" w:space="0" w:color="auto"/>
          </w:divBdr>
        </w:div>
        <w:div w:id="306399301">
          <w:marLeft w:val="0"/>
          <w:marRight w:val="0"/>
          <w:marTop w:val="0"/>
          <w:marBottom w:val="0"/>
          <w:divBdr>
            <w:top w:val="none" w:sz="0" w:space="0" w:color="auto"/>
            <w:left w:val="none" w:sz="0" w:space="0" w:color="auto"/>
            <w:bottom w:val="none" w:sz="0" w:space="0" w:color="auto"/>
            <w:right w:val="none" w:sz="0" w:space="0" w:color="auto"/>
          </w:divBdr>
        </w:div>
      </w:divsChild>
    </w:div>
    <w:div w:id="579487976">
      <w:bodyDiv w:val="1"/>
      <w:marLeft w:val="0"/>
      <w:marRight w:val="0"/>
      <w:marTop w:val="0"/>
      <w:marBottom w:val="0"/>
      <w:divBdr>
        <w:top w:val="none" w:sz="0" w:space="0" w:color="auto"/>
        <w:left w:val="none" w:sz="0" w:space="0" w:color="auto"/>
        <w:bottom w:val="none" w:sz="0" w:space="0" w:color="auto"/>
        <w:right w:val="none" w:sz="0" w:space="0" w:color="auto"/>
      </w:divBdr>
    </w:div>
    <w:div w:id="637536358">
      <w:bodyDiv w:val="1"/>
      <w:marLeft w:val="0"/>
      <w:marRight w:val="0"/>
      <w:marTop w:val="0"/>
      <w:marBottom w:val="0"/>
      <w:divBdr>
        <w:top w:val="none" w:sz="0" w:space="0" w:color="auto"/>
        <w:left w:val="none" w:sz="0" w:space="0" w:color="auto"/>
        <w:bottom w:val="none" w:sz="0" w:space="0" w:color="auto"/>
        <w:right w:val="none" w:sz="0" w:space="0" w:color="auto"/>
      </w:divBdr>
      <w:divsChild>
        <w:div w:id="428351579">
          <w:marLeft w:val="0"/>
          <w:marRight w:val="0"/>
          <w:marTop w:val="0"/>
          <w:marBottom w:val="0"/>
          <w:divBdr>
            <w:top w:val="none" w:sz="0" w:space="0" w:color="auto"/>
            <w:left w:val="none" w:sz="0" w:space="0" w:color="auto"/>
            <w:bottom w:val="none" w:sz="0" w:space="0" w:color="auto"/>
            <w:right w:val="none" w:sz="0" w:space="0" w:color="auto"/>
          </w:divBdr>
        </w:div>
        <w:div w:id="1157498133">
          <w:marLeft w:val="0"/>
          <w:marRight w:val="0"/>
          <w:marTop w:val="0"/>
          <w:marBottom w:val="0"/>
          <w:divBdr>
            <w:top w:val="none" w:sz="0" w:space="0" w:color="auto"/>
            <w:left w:val="none" w:sz="0" w:space="0" w:color="auto"/>
            <w:bottom w:val="none" w:sz="0" w:space="0" w:color="auto"/>
            <w:right w:val="none" w:sz="0" w:space="0" w:color="auto"/>
          </w:divBdr>
        </w:div>
        <w:div w:id="1881935036">
          <w:marLeft w:val="0"/>
          <w:marRight w:val="0"/>
          <w:marTop w:val="0"/>
          <w:marBottom w:val="0"/>
          <w:divBdr>
            <w:top w:val="none" w:sz="0" w:space="0" w:color="auto"/>
            <w:left w:val="none" w:sz="0" w:space="0" w:color="auto"/>
            <w:bottom w:val="none" w:sz="0" w:space="0" w:color="auto"/>
            <w:right w:val="none" w:sz="0" w:space="0" w:color="auto"/>
          </w:divBdr>
        </w:div>
        <w:div w:id="77950755">
          <w:marLeft w:val="0"/>
          <w:marRight w:val="0"/>
          <w:marTop w:val="0"/>
          <w:marBottom w:val="0"/>
          <w:divBdr>
            <w:top w:val="none" w:sz="0" w:space="0" w:color="auto"/>
            <w:left w:val="none" w:sz="0" w:space="0" w:color="auto"/>
            <w:bottom w:val="none" w:sz="0" w:space="0" w:color="auto"/>
            <w:right w:val="none" w:sz="0" w:space="0" w:color="auto"/>
          </w:divBdr>
        </w:div>
        <w:div w:id="1214272023">
          <w:marLeft w:val="0"/>
          <w:marRight w:val="0"/>
          <w:marTop w:val="0"/>
          <w:marBottom w:val="0"/>
          <w:divBdr>
            <w:top w:val="none" w:sz="0" w:space="0" w:color="auto"/>
            <w:left w:val="none" w:sz="0" w:space="0" w:color="auto"/>
            <w:bottom w:val="none" w:sz="0" w:space="0" w:color="auto"/>
            <w:right w:val="none" w:sz="0" w:space="0" w:color="auto"/>
          </w:divBdr>
        </w:div>
        <w:div w:id="1814713643">
          <w:marLeft w:val="0"/>
          <w:marRight w:val="0"/>
          <w:marTop w:val="0"/>
          <w:marBottom w:val="0"/>
          <w:divBdr>
            <w:top w:val="none" w:sz="0" w:space="0" w:color="auto"/>
            <w:left w:val="none" w:sz="0" w:space="0" w:color="auto"/>
            <w:bottom w:val="none" w:sz="0" w:space="0" w:color="auto"/>
            <w:right w:val="none" w:sz="0" w:space="0" w:color="auto"/>
          </w:divBdr>
        </w:div>
        <w:div w:id="1685859595">
          <w:marLeft w:val="0"/>
          <w:marRight w:val="0"/>
          <w:marTop w:val="0"/>
          <w:marBottom w:val="0"/>
          <w:divBdr>
            <w:top w:val="none" w:sz="0" w:space="0" w:color="auto"/>
            <w:left w:val="none" w:sz="0" w:space="0" w:color="auto"/>
            <w:bottom w:val="none" w:sz="0" w:space="0" w:color="auto"/>
            <w:right w:val="none" w:sz="0" w:space="0" w:color="auto"/>
          </w:divBdr>
        </w:div>
      </w:divsChild>
    </w:div>
    <w:div w:id="655375869">
      <w:bodyDiv w:val="1"/>
      <w:marLeft w:val="0"/>
      <w:marRight w:val="0"/>
      <w:marTop w:val="0"/>
      <w:marBottom w:val="0"/>
      <w:divBdr>
        <w:top w:val="none" w:sz="0" w:space="0" w:color="auto"/>
        <w:left w:val="none" w:sz="0" w:space="0" w:color="auto"/>
        <w:bottom w:val="none" w:sz="0" w:space="0" w:color="auto"/>
        <w:right w:val="none" w:sz="0" w:space="0" w:color="auto"/>
      </w:divBdr>
      <w:divsChild>
        <w:div w:id="2073261845">
          <w:marLeft w:val="0"/>
          <w:marRight w:val="0"/>
          <w:marTop w:val="0"/>
          <w:marBottom w:val="0"/>
          <w:divBdr>
            <w:top w:val="none" w:sz="0" w:space="0" w:color="auto"/>
            <w:left w:val="none" w:sz="0" w:space="0" w:color="auto"/>
            <w:bottom w:val="none" w:sz="0" w:space="0" w:color="auto"/>
            <w:right w:val="none" w:sz="0" w:space="0" w:color="auto"/>
          </w:divBdr>
        </w:div>
        <w:div w:id="59448928">
          <w:marLeft w:val="0"/>
          <w:marRight w:val="0"/>
          <w:marTop w:val="0"/>
          <w:marBottom w:val="0"/>
          <w:divBdr>
            <w:top w:val="none" w:sz="0" w:space="0" w:color="auto"/>
            <w:left w:val="none" w:sz="0" w:space="0" w:color="auto"/>
            <w:bottom w:val="none" w:sz="0" w:space="0" w:color="auto"/>
            <w:right w:val="none" w:sz="0" w:space="0" w:color="auto"/>
          </w:divBdr>
        </w:div>
        <w:div w:id="1748843237">
          <w:marLeft w:val="0"/>
          <w:marRight w:val="0"/>
          <w:marTop w:val="0"/>
          <w:marBottom w:val="0"/>
          <w:divBdr>
            <w:top w:val="none" w:sz="0" w:space="0" w:color="auto"/>
            <w:left w:val="none" w:sz="0" w:space="0" w:color="auto"/>
            <w:bottom w:val="none" w:sz="0" w:space="0" w:color="auto"/>
            <w:right w:val="none" w:sz="0" w:space="0" w:color="auto"/>
          </w:divBdr>
        </w:div>
        <w:div w:id="2062437371">
          <w:marLeft w:val="0"/>
          <w:marRight w:val="0"/>
          <w:marTop w:val="0"/>
          <w:marBottom w:val="0"/>
          <w:divBdr>
            <w:top w:val="none" w:sz="0" w:space="0" w:color="auto"/>
            <w:left w:val="none" w:sz="0" w:space="0" w:color="auto"/>
            <w:bottom w:val="none" w:sz="0" w:space="0" w:color="auto"/>
            <w:right w:val="none" w:sz="0" w:space="0" w:color="auto"/>
          </w:divBdr>
        </w:div>
        <w:div w:id="1853182144">
          <w:marLeft w:val="0"/>
          <w:marRight w:val="0"/>
          <w:marTop w:val="0"/>
          <w:marBottom w:val="0"/>
          <w:divBdr>
            <w:top w:val="none" w:sz="0" w:space="0" w:color="auto"/>
            <w:left w:val="none" w:sz="0" w:space="0" w:color="auto"/>
            <w:bottom w:val="none" w:sz="0" w:space="0" w:color="auto"/>
            <w:right w:val="none" w:sz="0" w:space="0" w:color="auto"/>
          </w:divBdr>
        </w:div>
        <w:div w:id="1854493536">
          <w:marLeft w:val="0"/>
          <w:marRight w:val="0"/>
          <w:marTop w:val="0"/>
          <w:marBottom w:val="0"/>
          <w:divBdr>
            <w:top w:val="none" w:sz="0" w:space="0" w:color="auto"/>
            <w:left w:val="none" w:sz="0" w:space="0" w:color="auto"/>
            <w:bottom w:val="none" w:sz="0" w:space="0" w:color="auto"/>
            <w:right w:val="none" w:sz="0" w:space="0" w:color="auto"/>
          </w:divBdr>
        </w:div>
      </w:divsChild>
    </w:div>
    <w:div w:id="691491553">
      <w:bodyDiv w:val="1"/>
      <w:marLeft w:val="0"/>
      <w:marRight w:val="0"/>
      <w:marTop w:val="0"/>
      <w:marBottom w:val="0"/>
      <w:divBdr>
        <w:top w:val="none" w:sz="0" w:space="0" w:color="auto"/>
        <w:left w:val="none" w:sz="0" w:space="0" w:color="auto"/>
        <w:bottom w:val="none" w:sz="0" w:space="0" w:color="auto"/>
        <w:right w:val="none" w:sz="0" w:space="0" w:color="auto"/>
      </w:divBdr>
    </w:div>
    <w:div w:id="722170561">
      <w:bodyDiv w:val="1"/>
      <w:marLeft w:val="0"/>
      <w:marRight w:val="0"/>
      <w:marTop w:val="0"/>
      <w:marBottom w:val="0"/>
      <w:divBdr>
        <w:top w:val="none" w:sz="0" w:space="0" w:color="auto"/>
        <w:left w:val="none" w:sz="0" w:space="0" w:color="auto"/>
        <w:bottom w:val="none" w:sz="0" w:space="0" w:color="auto"/>
        <w:right w:val="none" w:sz="0" w:space="0" w:color="auto"/>
      </w:divBdr>
      <w:divsChild>
        <w:div w:id="1257861412">
          <w:marLeft w:val="0"/>
          <w:marRight w:val="0"/>
          <w:marTop w:val="0"/>
          <w:marBottom w:val="0"/>
          <w:divBdr>
            <w:top w:val="none" w:sz="0" w:space="0" w:color="auto"/>
            <w:left w:val="none" w:sz="0" w:space="0" w:color="auto"/>
            <w:bottom w:val="none" w:sz="0" w:space="0" w:color="auto"/>
            <w:right w:val="none" w:sz="0" w:space="0" w:color="auto"/>
          </w:divBdr>
        </w:div>
      </w:divsChild>
    </w:div>
    <w:div w:id="746153883">
      <w:bodyDiv w:val="1"/>
      <w:marLeft w:val="0"/>
      <w:marRight w:val="0"/>
      <w:marTop w:val="0"/>
      <w:marBottom w:val="0"/>
      <w:divBdr>
        <w:top w:val="none" w:sz="0" w:space="0" w:color="auto"/>
        <w:left w:val="none" w:sz="0" w:space="0" w:color="auto"/>
        <w:bottom w:val="none" w:sz="0" w:space="0" w:color="auto"/>
        <w:right w:val="none" w:sz="0" w:space="0" w:color="auto"/>
      </w:divBdr>
      <w:divsChild>
        <w:div w:id="910777955">
          <w:marLeft w:val="0"/>
          <w:marRight w:val="0"/>
          <w:marTop w:val="0"/>
          <w:marBottom w:val="0"/>
          <w:divBdr>
            <w:top w:val="none" w:sz="0" w:space="0" w:color="auto"/>
            <w:left w:val="none" w:sz="0" w:space="0" w:color="auto"/>
            <w:bottom w:val="none" w:sz="0" w:space="0" w:color="auto"/>
            <w:right w:val="none" w:sz="0" w:space="0" w:color="auto"/>
          </w:divBdr>
        </w:div>
      </w:divsChild>
    </w:div>
    <w:div w:id="755977630">
      <w:bodyDiv w:val="1"/>
      <w:marLeft w:val="0"/>
      <w:marRight w:val="0"/>
      <w:marTop w:val="0"/>
      <w:marBottom w:val="0"/>
      <w:divBdr>
        <w:top w:val="none" w:sz="0" w:space="0" w:color="auto"/>
        <w:left w:val="none" w:sz="0" w:space="0" w:color="auto"/>
        <w:bottom w:val="none" w:sz="0" w:space="0" w:color="auto"/>
        <w:right w:val="none" w:sz="0" w:space="0" w:color="auto"/>
      </w:divBdr>
      <w:divsChild>
        <w:div w:id="1199004403">
          <w:marLeft w:val="0"/>
          <w:marRight w:val="0"/>
          <w:marTop w:val="0"/>
          <w:marBottom w:val="0"/>
          <w:divBdr>
            <w:top w:val="none" w:sz="0" w:space="0" w:color="auto"/>
            <w:left w:val="none" w:sz="0" w:space="0" w:color="auto"/>
            <w:bottom w:val="none" w:sz="0" w:space="0" w:color="auto"/>
            <w:right w:val="none" w:sz="0" w:space="0" w:color="auto"/>
          </w:divBdr>
        </w:div>
      </w:divsChild>
    </w:div>
    <w:div w:id="760298057">
      <w:bodyDiv w:val="1"/>
      <w:marLeft w:val="0"/>
      <w:marRight w:val="0"/>
      <w:marTop w:val="0"/>
      <w:marBottom w:val="0"/>
      <w:divBdr>
        <w:top w:val="none" w:sz="0" w:space="0" w:color="auto"/>
        <w:left w:val="none" w:sz="0" w:space="0" w:color="auto"/>
        <w:bottom w:val="none" w:sz="0" w:space="0" w:color="auto"/>
        <w:right w:val="none" w:sz="0" w:space="0" w:color="auto"/>
      </w:divBdr>
      <w:divsChild>
        <w:div w:id="390271892">
          <w:marLeft w:val="0"/>
          <w:marRight w:val="0"/>
          <w:marTop w:val="0"/>
          <w:marBottom w:val="0"/>
          <w:divBdr>
            <w:top w:val="none" w:sz="0" w:space="0" w:color="auto"/>
            <w:left w:val="none" w:sz="0" w:space="0" w:color="auto"/>
            <w:bottom w:val="none" w:sz="0" w:space="0" w:color="auto"/>
            <w:right w:val="none" w:sz="0" w:space="0" w:color="auto"/>
          </w:divBdr>
        </w:div>
        <w:div w:id="397675415">
          <w:marLeft w:val="0"/>
          <w:marRight w:val="0"/>
          <w:marTop w:val="0"/>
          <w:marBottom w:val="0"/>
          <w:divBdr>
            <w:top w:val="none" w:sz="0" w:space="0" w:color="auto"/>
            <w:left w:val="none" w:sz="0" w:space="0" w:color="auto"/>
            <w:bottom w:val="none" w:sz="0" w:space="0" w:color="auto"/>
            <w:right w:val="none" w:sz="0" w:space="0" w:color="auto"/>
          </w:divBdr>
        </w:div>
        <w:div w:id="451286059">
          <w:marLeft w:val="0"/>
          <w:marRight w:val="0"/>
          <w:marTop w:val="0"/>
          <w:marBottom w:val="0"/>
          <w:divBdr>
            <w:top w:val="none" w:sz="0" w:space="0" w:color="auto"/>
            <w:left w:val="none" w:sz="0" w:space="0" w:color="auto"/>
            <w:bottom w:val="none" w:sz="0" w:space="0" w:color="auto"/>
            <w:right w:val="none" w:sz="0" w:space="0" w:color="auto"/>
          </w:divBdr>
        </w:div>
        <w:div w:id="1172143732">
          <w:marLeft w:val="0"/>
          <w:marRight w:val="0"/>
          <w:marTop w:val="0"/>
          <w:marBottom w:val="0"/>
          <w:divBdr>
            <w:top w:val="none" w:sz="0" w:space="0" w:color="auto"/>
            <w:left w:val="none" w:sz="0" w:space="0" w:color="auto"/>
            <w:bottom w:val="none" w:sz="0" w:space="0" w:color="auto"/>
            <w:right w:val="none" w:sz="0" w:space="0" w:color="auto"/>
          </w:divBdr>
        </w:div>
        <w:div w:id="1672369920">
          <w:marLeft w:val="0"/>
          <w:marRight w:val="0"/>
          <w:marTop w:val="0"/>
          <w:marBottom w:val="0"/>
          <w:divBdr>
            <w:top w:val="none" w:sz="0" w:space="0" w:color="auto"/>
            <w:left w:val="none" w:sz="0" w:space="0" w:color="auto"/>
            <w:bottom w:val="none" w:sz="0" w:space="0" w:color="auto"/>
            <w:right w:val="none" w:sz="0" w:space="0" w:color="auto"/>
          </w:divBdr>
        </w:div>
      </w:divsChild>
    </w:div>
    <w:div w:id="769742187">
      <w:bodyDiv w:val="1"/>
      <w:marLeft w:val="0"/>
      <w:marRight w:val="0"/>
      <w:marTop w:val="0"/>
      <w:marBottom w:val="0"/>
      <w:divBdr>
        <w:top w:val="none" w:sz="0" w:space="0" w:color="auto"/>
        <w:left w:val="none" w:sz="0" w:space="0" w:color="auto"/>
        <w:bottom w:val="none" w:sz="0" w:space="0" w:color="auto"/>
        <w:right w:val="none" w:sz="0" w:space="0" w:color="auto"/>
      </w:divBdr>
    </w:div>
    <w:div w:id="780299271">
      <w:bodyDiv w:val="1"/>
      <w:marLeft w:val="0"/>
      <w:marRight w:val="0"/>
      <w:marTop w:val="0"/>
      <w:marBottom w:val="0"/>
      <w:divBdr>
        <w:top w:val="none" w:sz="0" w:space="0" w:color="auto"/>
        <w:left w:val="none" w:sz="0" w:space="0" w:color="auto"/>
        <w:bottom w:val="none" w:sz="0" w:space="0" w:color="auto"/>
        <w:right w:val="none" w:sz="0" w:space="0" w:color="auto"/>
      </w:divBdr>
      <w:divsChild>
        <w:div w:id="1844271732">
          <w:marLeft w:val="0"/>
          <w:marRight w:val="0"/>
          <w:marTop w:val="0"/>
          <w:marBottom w:val="0"/>
          <w:divBdr>
            <w:top w:val="none" w:sz="0" w:space="0" w:color="auto"/>
            <w:left w:val="none" w:sz="0" w:space="0" w:color="auto"/>
            <w:bottom w:val="none" w:sz="0" w:space="0" w:color="auto"/>
            <w:right w:val="none" w:sz="0" w:space="0" w:color="auto"/>
          </w:divBdr>
        </w:div>
      </w:divsChild>
    </w:div>
    <w:div w:id="805126483">
      <w:bodyDiv w:val="1"/>
      <w:marLeft w:val="0"/>
      <w:marRight w:val="0"/>
      <w:marTop w:val="0"/>
      <w:marBottom w:val="0"/>
      <w:divBdr>
        <w:top w:val="none" w:sz="0" w:space="0" w:color="auto"/>
        <w:left w:val="none" w:sz="0" w:space="0" w:color="auto"/>
        <w:bottom w:val="none" w:sz="0" w:space="0" w:color="auto"/>
        <w:right w:val="none" w:sz="0" w:space="0" w:color="auto"/>
      </w:divBdr>
      <w:divsChild>
        <w:div w:id="210844631">
          <w:marLeft w:val="0"/>
          <w:marRight w:val="0"/>
          <w:marTop w:val="0"/>
          <w:marBottom w:val="0"/>
          <w:divBdr>
            <w:top w:val="none" w:sz="0" w:space="0" w:color="auto"/>
            <w:left w:val="none" w:sz="0" w:space="0" w:color="auto"/>
            <w:bottom w:val="none" w:sz="0" w:space="0" w:color="auto"/>
            <w:right w:val="none" w:sz="0" w:space="0" w:color="auto"/>
          </w:divBdr>
        </w:div>
      </w:divsChild>
    </w:div>
    <w:div w:id="840004280">
      <w:bodyDiv w:val="1"/>
      <w:marLeft w:val="0"/>
      <w:marRight w:val="0"/>
      <w:marTop w:val="0"/>
      <w:marBottom w:val="0"/>
      <w:divBdr>
        <w:top w:val="none" w:sz="0" w:space="0" w:color="auto"/>
        <w:left w:val="none" w:sz="0" w:space="0" w:color="auto"/>
        <w:bottom w:val="none" w:sz="0" w:space="0" w:color="auto"/>
        <w:right w:val="none" w:sz="0" w:space="0" w:color="auto"/>
      </w:divBdr>
      <w:divsChild>
        <w:div w:id="626201883">
          <w:marLeft w:val="0"/>
          <w:marRight w:val="0"/>
          <w:marTop w:val="0"/>
          <w:marBottom w:val="0"/>
          <w:divBdr>
            <w:top w:val="none" w:sz="0" w:space="0" w:color="auto"/>
            <w:left w:val="none" w:sz="0" w:space="0" w:color="auto"/>
            <w:bottom w:val="none" w:sz="0" w:space="0" w:color="auto"/>
            <w:right w:val="none" w:sz="0" w:space="0" w:color="auto"/>
          </w:divBdr>
        </w:div>
      </w:divsChild>
    </w:div>
    <w:div w:id="840895888">
      <w:bodyDiv w:val="1"/>
      <w:marLeft w:val="0"/>
      <w:marRight w:val="0"/>
      <w:marTop w:val="0"/>
      <w:marBottom w:val="0"/>
      <w:divBdr>
        <w:top w:val="none" w:sz="0" w:space="0" w:color="auto"/>
        <w:left w:val="none" w:sz="0" w:space="0" w:color="auto"/>
        <w:bottom w:val="none" w:sz="0" w:space="0" w:color="auto"/>
        <w:right w:val="none" w:sz="0" w:space="0" w:color="auto"/>
      </w:divBdr>
      <w:divsChild>
        <w:div w:id="297885255">
          <w:marLeft w:val="0"/>
          <w:marRight w:val="0"/>
          <w:marTop w:val="0"/>
          <w:marBottom w:val="0"/>
          <w:divBdr>
            <w:top w:val="none" w:sz="0" w:space="0" w:color="auto"/>
            <w:left w:val="none" w:sz="0" w:space="0" w:color="auto"/>
            <w:bottom w:val="none" w:sz="0" w:space="0" w:color="auto"/>
            <w:right w:val="none" w:sz="0" w:space="0" w:color="auto"/>
          </w:divBdr>
        </w:div>
        <w:div w:id="1803767732">
          <w:marLeft w:val="0"/>
          <w:marRight w:val="0"/>
          <w:marTop w:val="0"/>
          <w:marBottom w:val="0"/>
          <w:divBdr>
            <w:top w:val="none" w:sz="0" w:space="0" w:color="auto"/>
            <w:left w:val="none" w:sz="0" w:space="0" w:color="auto"/>
            <w:bottom w:val="none" w:sz="0" w:space="0" w:color="auto"/>
            <w:right w:val="none" w:sz="0" w:space="0" w:color="auto"/>
          </w:divBdr>
        </w:div>
        <w:div w:id="1598517462">
          <w:marLeft w:val="0"/>
          <w:marRight w:val="0"/>
          <w:marTop w:val="0"/>
          <w:marBottom w:val="0"/>
          <w:divBdr>
            <w:top w:val="none" w:sz="0" w:space="0" w:color="auto"/>
            <w:left w:val="none" w:sz="0" w:space="0" w:color="auto"/>
            <w:bottom w:val="none" w:sz="0" w:space="0" w:color="auto"/>
            <w:right w:val="none" w:sz="0" w:space="0" w:color="auto"/>
          </w:divBdr>
        </w:div>
        <w:div w:id="2023434084">
          <w:marLeft w:val="0"/>
          <w:marRight w:val="0"/>
          <w:marTop w:val="0"/>
          <w:marBottom w:val="0"/>
          <w:divBdr>
            <w:top w:val="none" w:sz="0" w:space="0" w:color="auto"/>
            <w:left w:val="none" w:sz="0" w:space="0" w:color="auto"/>
            <w:bottom w:val="none" w:sz="0" w:space="0" w:color="auto"/>
            <w:right w:val="none" w:sz="0" w:space="0" w:color="auto"/>
          </w:divBdr>
        </w:div>
        <w:div w:id="1059325080">
          <w:marLeft w:val="0"/>
          <w:marRight w:val="0"/>
          <w:marTop w:val="0"/>
          <w:marBottom w:val="0"/>
          <w:divBdr>
            <w:top w:val="none" w:sz="0" w:space="0" w:color="auto"/>
            <w:left w:val="none" w:sz="0" w:space="0" w:color="auto"/>
            <w:bottom w:val="none" w:sz="0" w:space="0" w:color="auto"/>
            <w:right w:val="none" w:sz="0" w:space="0" w:color="auto"/>
          </w:divBdr>
        </w:div>
        <w:div w:id="1419903264">
          <w:marLeft w:val="0"/>
          <w:marRight w:val="0"/>
          <w:marTop w:val="0"/>
          <w:marBottom w:val="0"/>
          <w:divBdr>
            <w:top w:val="none" w:sz="0" w:space="0" w:color="auto"/>
            <w:left w:val="none" w:sz="0" w:space="0" w:color="auto"/>
            <w:bottom w:val="none" w:sz="0" w:space="0" w:color="auto"/>
            <w:right w:val="none" w:sz="0" w:space="0" w:color="auto"/>
          </w:divBdr>
        </w:div>
        <w:div w:id="704329579">
          <w:marLeft w:val="0"/>
          <w:marRight w:val="0"/>
          <w:marTop w:val="0"/>
          <w:marBottom w:val="0"/>
          <w:divBdr>
            <w:top w:val="none" w:sz="0" w:space="0" w:color="auto"/>
            <w:left w:val="none" w:sz="0" w:space="0" w:color="auto"/>
            <w:bottom w:val="none" w:sz="0" w:space="0" w:color="auto"/>
            <w:right w:val="none" w:sz="0" w:space="0" w:color="auto"/>
          </w:divBdr>
        </w:div>
        <w:div w:id="217665756">
          <w:marLeft w:val="0"/>
          <w:marRight w:val="0"/>
          <w:marTop w:val="0"/>
          <w:marBottom w:val="0"/>
          <w:divBdr>
            <w:top w:val="none" w:sz="0" w:space="0" w:color="auto"/>
            <w:left w:val="none" w:sz="0" w:space="0" w:color="auto"/>
            <w:bottom w:val="none" w:sz="0" w:space="0" w:color="auto"/>
            <w:right w:val="none" w:sz="0" w:space="0" w:color="auto"/>
          </w:divBdr>
        </w:div>
        <w:div w:id="395782356">
          <w:marLeft w:val="0"/>
          <w:marRight w:val="0"/>
          <w:marTop w:val="0"/>
          <w:marBottom w:val="0"/>
          <w:divBdr>
            <w:top w:val="none" w:sz="0" w:space="0" w:color="auto"/>
            <w:left w:val="none" w:sz="0" w:space="0" w:color="auto"/>
            <w:bottom w:val="none" w:sz="0" w:space="0" w:color="auto"/>
            <w:right w:val="none" w:sz="0" w:space="0" w:color="auto"/>
          </w:divBdr>
        </w:div>
        <w:div w:id="1653827418">
          <w:marLeft w:val="0"/>
          <w:marRight w:val="0"/>
          <w:marTop w:val="0"/>
          <w:marBottom w:val="0"/>
          <w:divBdr>
            <w:top w:val="none" w:sz="0" w:space="0" w:color="auto"/>
            <w:left w:val="none" w:sz="0" w:space="0" w:color="auto"/>
            <w:bottom w:val="none" w:sz="0" w:space="0" w:color="auto"/>
            <w:right w:val="none" w:sz="0" w:space="0" w:color="auto"/>
          </w:divBdr>
        </w:div>
        <w:div w:id="485124237">
          <w:marLeft w:val="0"/>
          <w:marRight w:val="0"/>
          <w:marTop w:val="0"/>
          <w:marBottom w:val="0"/>
          <w:divBdr>
            <w:top w:val="none" w:sz="0" w:space="0" w:color="auto"/>
            <w:left w:val="none" w:sz="0" w:space="0" w:color="auto"/>
            <w:bottom w:val="none" w:sz="0" w:space="0" w:color="auto"/>
            <w:right w:val="none" w:sz="0" w:space="0" w:color="auto"/>
          </w:divBdr>
        </w:div>
        <w:div w:id="347291488">
          <w:marLeft w:val="0"/>
          <w:marRight w:val="0"/>
          <w:marTop w:val="0"/>
          <w:marBottom w:val="0"/>
          <w:divBdr>
            <w:top w:val="none" w:sz="0" w:space="0" w:color="auto"/>
            <w:left w:val="none" w:sz="0" w:space="0" w:color="auto"/>
            <w:bottom w:val="none" w:sz="0" w:space="0" w:color="auto"/>
            <w:right w:val="none" w:sz="0" w:space="0" w:color="auto"/>
          </w:divBdr>
        </w:div>
        <w:div w:id="1596740584">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441535296">
          <w:marLeft w:val="0"/>
          <w:marRight w:val="0"/>
          <w:marTop w:val="0"/>
          <w:marBottom w:val="0"/>
          <w:divBdr>
            <w:top w:val="none" w:sz="0" w:space="0" w:color="auto"/>
            <w:left w:val="none" w:sz="0" w:space="0" w:color="auto"/>
            <w:bottom w:val="none" w:sz="0" w:space="0" w:color="auto"/>
            <w:right w:val="none" w:sz="0" w:space="0" w:color="auto"/>
          </w:divBdr>
        </w:div>
        <w:div w:id="1874225016">
          <w:marLeft w:val="0"/>
          <w:marRight w:val="0"/>
          <w:marTop w:val="0"/>
          <w:marBottom w:val="0"/>
          <w:divBdr>
            <w:top w:val="none" w:sz="0" w:space="0" w:color="auto"/>
            <w:left w:val="none" w:sz="0" w:space="0" w:color="auto"/>
            <w:bottom w:val="none" w:sz="0" w:space="0" w:color="auto"/>
            <w:right w:val="none" w:sz="0" w:space="0" w:color="auto"/>
          </w:divBdr>
        </w:div>
        <w:div w:id="371807167">
          <w:marLeft w:val="0"/>
          <w:marRight w:val="0"/>
          <w:marTop w:val="0"/>
          <w:marBottom w:val="0"/>
          <w:divBdr>
            <w:top w:val="none" w:sz="0" w:space="0" w:color="auto"/>
            <w:left w:val="none" w:sz="0" w:space="0" w:color="auto"/>
            <w:bottom w:val="none" w:sz="0" w:space="0" w:color="auto"/>
            <w:right w:val="none" w:sz="0" w:space="0" w:color="auto"/>
          </w:divBdr>
        </w:div>
        <w:div w:id="1766344646">
          <w:marLeft w:val="0"/>
          <w:marRight w:val="0"/>
          <w:marTop w:val="0"/>
          <w:marBottom w:val="0"/>
          <w:divBdr>
            <w:top w:val="none" w:sz="0" w:space="0" w:color="auto"/>
            <w:left w:val="none" w:sz="0" w:space="0" w:color="auto"/>
            <w:bottom w:val="none" w:sz="0" w:space="0" w:color="auto"/>
            <w:right w:val="none" w:sz="0" w:space="0" w:color="auto"/>
          </w:divBdr>
        </w:div>
        <w:div w:id="491065574">
          <w:marLeft w:val="0"/>
          <w:marRight w:val="0"/>
          <w:marTop w:val="0"/>
          <w:marBottom w:val="0"/>
          <w:divBdr>
            <w:top w:val="none" w:sz="0" w:space="0" w:color="auto"/>
            <w:left w:val="none" w:sz="0" w:space="0" w:color="auto"/>
            <w:bottom w:val="none" w:sz="0" w:space="0" w:color="auto"/>
            <w:right w:val="none" w:sz="0" w:space="0" w:color="auto"/>
          </w:divBdr>
        </w:div>
        <w:div w:id="1336686742">
          <w:marLeft w:val="0"/>
          <w:marRight w:val="0"/>
          <w:marTop w:val="0"/>
          <w:marBottom w:val="0"/>
          <w:divBdr>
            <w:top w:val="none" w:sz="0" w:space="0" w:color="auto"/>
            <w:left w:val="none" w:sz="0" w:space="0" w:color="auto"/>
            <w:bottom w:val="none" w:sz="0" w:space="0" w:color="auto"/>
            <w:right w:val="none" w:sz="0" w:space="0" w:color="auto"/>
          </w:divBdr>
        </w:div>
        <w:div w:id="1606231640">
          <w:marLeft w:val="0"/>
          <w:marRight w:val="0"/>
          <w:marTop w:val="0"/>
          <w:marBottom w:val="0"/>
          <w:divBdr>
            <w:top w:val="none" w:sz="0" w:space="0" w:color="auto"/>
            <w:left w:val="none" w:sz="0" w:space="0" w:color="auto"/>
            <w:bottom w:val="none" w:sz="0" w:space="0" w:color="auto"/>
            <w:right w:val="none" w:sz="0" w:space="0" w:color="auto"/>
          </w:divBdr>
        </w:div>
        <w:div w:id="12583901">
          <w:marLeft w:val="0"/>
          <w:marRight w:val="0"/>
          <w:marTop w:val="0"/>
          <w:marBottom w:val="0"/>
          <w:divBdr>
            <w:top w:val="none" w:sz="0" w:space="0" w:color="auto"/>
            <w:left w:val="none" w:sz="0" w:space="0" w:color="auto"/>
            <w:bottom w:val="none" w:sz="0" w:space="0" w:color="auto"/>
            <w:right w:val="none" w:sz="0" w:space="0" w:color="auto"/>
          </w:divBdr>
        </w:div>
        <w:div w:id="1279723120">
          <w:marLeft w:val="0"/>
          <w:marRight w:val="0"/>
          <w:marTop w:val="0"/>
          <w:marBottom w:val="0"/>
          <w:divBdr>
            <w:top w:val="none" w:sz="0" w:space="0" w:color="auto"/>
            <w:left w:val="none" w:sz="0" w:space="0" w:color="auto"/>
            <w:bottom w:val="none" w:sz="0" w:space="0" w:color="auto"/>
            <w:right w:val="none" w:sz="0" w:space="0" w:color="auto"/>
          </w:divBdr>
        </w:div>
        <w:div w:id="301228649">
          <w:marLeft w:val="0"/>
          <w:marRight w:val="0"/>
          <w:marTop w:val="0"/>
          <w:marBottom w:val="0"/>
          <w:divBdr>
            <w:top w:val="none" w:sz="0" w:space="0" w:color="auto"/>
            <w:left w:val="none" w:sz="0" w:space="0" w:color="auto"/>
            <w:bottom w:val="none" w:sz="0" w:space="0" w:color="auto"/>
            <w:right w:val="none" w:sz="0" w:space="0" w:color="auto"/>
          </w:divBdr>
        </w:div>
        <w:div w:id="2057272264">
          <w:marLeft w:val="0"/>
          <w:marRight w:val="0"/>
          <w:marTop w:val="0"/>
          <w:marBottom w:val="0"/>
          <w:divBdr>
            <w:top w:val="none" w:sz="0" w:space="0" w:color="auto"/>
            <w:left w:val="none" w:sz="0" w:space="0" w:color="auto"/>
            <w:bottom w:val="none" w:sz="0" w:space="0" w:color="auto"/>
            <w:right w:val="none" w:sz="0" w:space="0" w:color="auto"/>
          </w:divBdr>
        </w:div>
        <w:div w:id="1687436541">
          <w:marLeft w:val="0"/>
          <w:marRight w:val="0"/>
          <w:marTop w:val="0"/>
          <w:marBottom w:val="0"/>
          <w:divBdr>
            <w:top w:val="none" w:sz="0" w:space="0" w:color="auto"/>
            <w:left w:val="none" w:sz="0" w:space="0" w:color="auto"/>
            <w:bottom w:val="none" w:sz="0" w:space="0" w:color="auto"/>
            <w:right w:val="none" w:sz="0" w:space="0" w:color="auto"/>
          </w:divBdr>
        </w:div>
        <w:div w:id="1075322107">
          <w:marLeft w:val="0"/>
          <w:marRight w:val="0"/>
          <w:marTop w:val="0"/>
          <w:marBottom w:val="0"/>
          <w:divBdr>
            <w:top w:val="none" w:sz="0" w:space="0" w:color="auto"/>
            <w:left w:val="none" w:sz="0" w:space="0" w:color="auto"/>
            <w:bottom w:val="none" w:sz="0" w:space="0" w:color="auto"/>
            <w:right w:val="none" w:sz="0" w:space="0" w:color="auto"/>
          </w:divBdr>
        </w:div>
        <w:div w:id="1187064921">
          <w:marLeft w:val="0"/>
          <w:marRight w:val="0"/>
          <w:marTop w:val="0"/>
          <w:marBottom w:val="0"/>
          <w:divBdr>
            <w:top w:val="none" w:sz="0" w:space="0" w:color="auto"/>
            <w:left w:val="none" w:sz="0" w:space="0" w:color="auto"/>
            <w:bottom w:val="none" w:sz="0" w:space="0" w:color="auto"/>
            <w:right w:val="none" w:sz="0" w:space="0" w:color="auto"/>
          </w:divBdr>
        </w:div>
        <w:div w:id="1572353895">
          <w:marLeft w:val="0"/>
          <w:marRight w:val="0"/>
          <w:marTop w:val="0"/>
          <w:marBottom w:val="0"/>
          <w:divBdr>
            <w:top w:val="none" w:sz="0" w:space="0" w:color="auto"/>
            <w:left w:val="none" w:sz="0" w:space="0" w:color="auto"/>
            <w:bottom w:val="none" w:sz="0" w:space="0" w:color="auto"/>
            <w:right w:val="none" w:sz="0" w:space="0" w:color="auto"/>
          </w:divBdr>
        </w:div>
        <w:div w:id="141196863">
          <w:marLeft w:val="0"/>
          <w:marRight w:val="0"/>
          <w:marTop w:val="0"/>
          <w:marBottom w:val="0"/>
          <w:divBdr>
            <w:top w:val="none" w:sz="0" w:space="0" w:color="auto"/>
            <w:left w:val="none" w:sz="0" w:space="0" w:color="auto"/>
            <w:bottom w:val="none" w:sz="0" w:space="0" w:color="auto"/>
            <w:right w:val="none" w:sz="0" w:space="0" w:color="auto"/>
          </w:divBdr>
        </w:div>
        <w:div w:id="2003122059">
          <w:marLeft w:val="0"/>
          <w:marRight w:val="0"/>
          <w:marTop w:val="0"/>
          <w:marBottom w:val="0"/>
          <w:divBdr>
            <w:top w:val="none" w:sz="0" w:space="0" w:color="auto"/>
            <w:left w:val="none" w:sz="0" w:space="0" w:color="auto"/>
            <w:bottom w:val="none" w:sz="0" w:space="0" w:color="auto"/>
            <w:right w:val="none" w:sz="0" w:space="0" w:color="auto"/>
          </w:divBdr>
        </w:div>
        <w:div w:id="1687056978">
          <w:marLeft w:val="0"/>
          <w:marRight w:val="0"/>
          <w:marTop w:val="0"/>
          <w:marBottom w:val="0"/>
          <w:divBdr>
            <w:top w:val="none" w:sz="0" w:space="0" w:color="auto"/>
            <w:left w:val="none" w:sz="0" w:space="0" w:color="auto"/>
            <w:bottom w:val="none" w:sz="0" w:space="0" w:color="auto"/>
            <w:right w:val="none" w:sz="0" w:space="0" w:color="auto"/>
          </w:divBdr>
        </w:div>
        <w:div w:id="1711614607">
          <w:marLeft w:val="0"/>
          <w:marRight w:val="0"/>
          <w:marTop w:val="0"/>
          <w:marBottom w:val="0"/>
          <w:divBdr>
            <w:top w:val="none" w:sz="0" w:space="0" w:color="auto"/>
            <w:left w:val="none" w:sz="0" w:space="0" w:color="auto"/>
            <w:bottom w:val="none" w:sz="0" w:space="0" w:color="auto"/>
            <w:right w:val="none" w:sz="0" w:space="0" w:color="auto"/>
          </w:divBdr>
        </w:div>
      </w:divsChild>
    </w:div>
    <w:div w:id="893001180">
      <w:bodyDiv w:val="1"/>
      <w:marLeft w:val="0"/>
      <w:marRight w:val="0"/>
      <w:marTop w:val="0"/>
      <w:marBottom w:val="0"/>
      <w:divBdr>
        <w:top w:val="none" w:sz="0" w:space="0" w:color="auto"/>
        <w:left w:val="none" w:sz="0" w:space="0" w:color="auto"/>
        <w:bottom w:val="none" w:sz="0" w:space="0" w:color="auto"/>
        <w:right w:val="none" w:sz="0" w:space="0" w:color="auto"/>
      </w:divBdr>
      <w:divsChild>
        <w:div w:id="150365609">
          <w:marLeft w:val="0"/>
          <w:marRight w:val="0"/>
          <w:marTop w:val="0"/>
          <w:marBottom w:val="0"/>
          <w:divBdr>
            <w:top w:val="none" w:sz="0" w:space="0" w:color="auto"/>
            <w:left w:val="none" w:sz="0" w:space="0" w:color="auto"/>
            <w:bottom w:val="none" w:sz="0" w:space="0" w:color="auto"/>
            <w:right w:val="none" w:sz="0" w:space="0" w:color="auto"/>
          </w:divBdr>
        </w:div>
        <w:div w:id="408499148">
          <w:marLeft w:val="0"/>
          <w:marRight w:val="0"/>
          <w:marTop w:val="0"/>
          <w:marBottom w:val="0"/>
          <w:divBdr>
            <w:top w:val="none" w:sz="0" w:space="0" w:color="auto"/>
            <w:left w:val="none" w:sz="0" w:space="0" w:color="auto"/>
            <w:bottom w:val="none" w:sz="0" w:space="0" w:color="auto"/>
            <w:right w:val="none" w:sz="0" w:space="0" w:color="auto"/>
          </w:divBdr>
        </w:div>
      </w:divsChild>
    </w:div>
    <w:div w:id="1064835208">
      <w:bodyDiv w:val="1"/>
      <w:marLeft w:val="0"/>
      <w:marRight w:val="0"/>
      <w:marTop w:val="0"/>
      <w:marBottom w:val="0"/>
      <w:divBdr>
        <w:top w:val="none" w:sz="0" w:space="0" w:color="auto"/>
        <w:left w:val="none" w:sz="0" w:space="0" w:color="auto"/>
        <w:bottom w:val="none" w:sz="0" w:space="0" w:color="auto"/>
        <w:right w:val="none" w:sz="0" w:space="0" w:color="auto"/>
      </w:divBdr>
      <w:divsChild>
        <w:div w:id="1228103273">
          <w:marLeft w:val="0"/>
          <w:marRight w:val="0"/>
          <w:marTop w:val="0"/>
          <w:marBottom w:val="0"/>
          <w:divBdr>
            <w:top w:val="none" w:sz="0" w:space="0" w:color="auto"/>
            <w:left w:val="none" w:sz="0" w:space="0" w:color="auto"/>
            <w:bottom w:val="none" w:sz="0" w:space="0" w:color="auto"/>
            <w:right w:val="none" w:sz="0" w:space="0" w:color="auto"/>
          </w:divBdr>
        </w:div>
        <w:div w:id="218636195">
          <w:marLeft w:val="0"/>
          <w:marRight w:val="0"/>
          <w:marTop w:val="0"/>
          <w:marBottom w:val="0"/>
          <w:divBdr>
            <w:top w:val="none" w:sz="0" w:space="0" w:color="auto"/>
            <w:left w:val="none" w:sz="0" w:space="0" w:color="auto"/>
            <w:bottom w:val="none" w:sz="0" w:space="0" w:color="auto"/>
            <w:right w:val="none" w:sz="0" w:space="0" w:color="auto"/>
          </w:divBdr>
        </w:div>
      </w:divsChild>
    </w:div>
    <w:div w:id="1111783649">
      <w:bodyDiv w:val="1"/>
      <w:marLeft w:val="0"/>
      <w:marRight w:val="0"/>
      <w:marTop w:val="0"/>
      <w:marBottom w:val="0"/>
      <w:divBdr>
        <w:top w:val="none" w:sz="0" w:space="0" w:color="auto"/>
        <w:left w:val="none" w:sz="0" w:space="0" w:color="auto"/>
        <w:bottom w:val="none" w:sz="0" w:space="0" w:color="auto"/>
        <w:right w:val="none" w:sz="0" w:space="0" w:color="auto"/>
      </w:divBdr>
      <w:divsChild>
        <w:div w:id="1668970805">
          <w:marLeft w:val="0"/>
          <w:marRight w:val="0"/>
          <w:marTop w:val="0"/>
          <w:marBottom w:val="0"/>
          <w:divBdr>
            <w:top w:val="none" w:sz="0" w:space="0" w:color="auto"/>
            <w:left w:val="none" w:sz="0" w:space="0" w:color="auto"/>
            <w:bottom w:val="none" w:sz="0" w:space="0" w:color="auto"/>
            <w:right w:val="none" w:sz="0" w:space="0" w:color="auto"/>
          </w:divBdr>
        </w:div>
        <w:div w:id="254022670">
          <w:marLeft w:val="0"/>
          <w:marRight w:val="0"/>
          <w:marTop w:val="0"/>
          <w:marBottom w:val="0"/>
          <w:divBdr>
            <w:top w:val="none" w:sz="0" w:space="0" w:color="auto"/>
            <w:left w:val="none" w:sz="0" w:space="0" w:color="auto"/>
            <w:bottom w:val="none" w:sz="0" w:space="0" w:color="auto"/>
            <w:right w:val="none" w:sz="0" w:space="0" w:color="auto"/>
          </w:divBdr>
        </w:div>
        <w:div w:id="1794400058">
          <w:marLeft w:val="0"/>
          <w:marRight w:val="0"/>
          <w:marTop w:val="0"/>
          <w:marBottom w:val="0"/>
          <w:divBdr>
            <w:top w:val="none" w:sz="0" w:space="0" w:color="auto"/>
            <w:left w:val="none" w:sz="0" w:space="0" w:color="auto"/>
            <w:bottom w:val="none" w:sz="0" w:space="0" w:color="auto"/>
            <w:right w:val="none" w:sz="0" w:space="0" w:color="auto"/>
          </w:divBdr>
        </w:div>
        <w:div w:id="1805807674">
          <w:marLeft w:val="0"/>
          <w:marRight w:val="0"/>
          <w:marTop w:val="0"/>
          <w:marBottom w:val="0"/>
          <w:divBdr>
            <w:top w:val="none" w:sz="0" w:space="0" w:color="auto"/>
            <w:left w:val="none" w:sz="0" w:space="0" w:color="auto"/>
            <w:bottom w:val="none" w:sz="0" w:space="0" w:color="auto"/>
            <w:right w:val="none" w:sz="0" w:space="0" w:color="auto"/>
          </w:divBdr>
        </w:div>
        <w:div w:id="59713649">
          <w:marLeft w:val="0"/>
          <w:marRight w:val="0"/>
          <w:marTop w:val="0"/>
          <w:marBottom w:val="0"/>
          <w:divBdr>
            <w:top w:val="none" w:sz="0" w:space="0" w:color="auto"/>
            <w:left w:val="none" w:sz="0" w:space="0" w:color="auto"/>
            <w:bottom w:val="none" w:sz="0" w:space="0" w:color="auto"/>
            <w:right w:val="none" w:sz="0" w:space="0" w:color="auto"/>
          </w:divBdr>
        </w:div>
        <w:div w:id="2089617852">
          <w:marLeft w:val="0"/>
          <w:marRight w:val="0"/>
          <w:marTop w:val="0"/>
          <w:marBottom w:val="0"/>
          <w:divBdr>
            <w:top w:val="none" w:sz="0" w:space="0" w:color="auto"/>
            <w:left w:val="none" w:sz="0" w:space="0" w:color="auto"/>
            <w:bottom w:val="none" w:sz="0" w:space="0" w:color="auto"/>
            <w:right w:val="none" w:sz="0" w:space="0" w:color="auto"/>
          </w:divBdr>
        </w:div>
        <w:div w:id="2102874890">
          <w:marLeft w:val="0"/>
          <w:marRight w:val="0"/>
          <w:marTop w:val="0"/>
          <w:marBottom w:val="0"/>
          <w:divBdr>
            <w:top w:val="none" w:sz="0" w:space="0" w:color="auto"/>
            <w:left w:val="none" w:sz="0" w:space="0" w:color="auto"/>
            <w:bottom w:val="none" w:sz="0" w:space="0" w:color="auto"/>
            <w:right w:val="none" w:sz="0" w:space="0" w:color="auto"/>
          </w:divBdr>
        </w:div>
      </w:divsChild>
    </w:div>
    <w:div w:id="1118379306">
      <w:bodyDiv w:val="1"/>
      <w:marLeft w:val="0"/>
      <w:marRight w:val="0"/>
      <w:marTop w:val="0"/>
      <w:marBottom w:val="0"/>
      <w:divBdr>
        <w:top w:val="none" w:sz="0" w:space="0" w:color="auto"/>
        <w:left w:val="none" w:sz="0" w:space="0" w:color="auto"/>
        <w:bottom w:val="none" w:sz="0" w:space="0" w:color="auto"/>
        <w:right w:val="none" w:sz="0" w:space="0" w:color="auto"/>
      </w:divBdr>
      <w:divsChild>
        <w:div w:id="1094547146">
          <w:marLeft w:val="0"/>
          <w:marRight w:val="0"/>
          <w:marTop w:val="0"/>
          <w:marBottom w:val="0"/>
          <w:divBdr>
            <w:top w:val="none" w:sz="0" w:space="0" w:color="auto"/>
            <w:left w:val="none" w:sz="0" w:space="0" w:color="auto"/>
            <w:bottom w:val="none" w:sz="0" w:space="0" w:color="auto"/>
            <w:right w:val="none" w:sz="0" w:space="0" w:color="auto"/>
          </w:divBdr>
        </w:div>
        <w:div w:id="1188837396">
          <w:marLeft w:val="0"/>
          <w:marRight w:val="0"/>
          <w:marTop w:val="0"/>
          <w:marBottom w:val="0"/>
          <w:divBdr>
            <w:top w:val="none" w:sz="0" w:space="0" w:color="auto"/>
            <w:left w:val="none" w:sz="0" w:space="0" w:color="auto"/>
            <w:bottom w:val="none" w:sz="0" w:space="0" w:color="auto"/>
            <w:right w:val="none" w:sz="0" w:space="0" w:color="auto"/>
          </w:divBdr>
        </w:div>
        <w:div w:id="2022120652">
          <w:marLeft w:val="0"/>
          <w:marRight w:val="0"/>
          <w:marTop w:val="0"/>
          <w:marBottom w:val="0"/>
          <w:divBdr>
            <w:top w:val="none" w:sz="0" w:space="0" w:color="auto"/>
            <w:left w:val="none" w:sz="0" w:space="0" w:color="auto"/>
            <w:bottom w:val="none" w:sz="0" w:space="0" w:color="auto"/>
            <w:right w:val="none" w:sz="0" w:space="0" w:color="auto"/>
          </w:divBdr>
        </w:div>
        <w:div w:id="1047994138">
          <w:marLeft w:val="0"/>
          <w:marRight w:val="0"/>
          <w:marTop w:val="0"/>
          <w:marBottom w:val="0"/>
          <w:divBdr>
            <w:top w:val="none" w:sz="0" w:space="0" w:color="auto"/>
            <w:left w:val="none" w:sz="0" w:space="0" w:color="auto"/>
            <w:bottom w:val="none" w:sz="0" w:space="0" w:color="auto"/>
            <w:right w:val="none" w:sz="0" w:space="0" w:color="auto"/>
          </w:divBdr>
        </w:div>
      </w:divsChild>
    </w:div>
    <w:div w:id="1252422630">
      <w:bodyDiv w:val="1"/>
      <w:marLeft w:val="0"/>
      <w:marRight w:val="0"/>
      <w:marTop w:val="0"/>
      <w:marBottom w:val="0"/>
      <w:divBdr>
        <w:top w:val="none" w:sz="0" w:space="0" w:color="auto"/>
        <w:left w:val="none" w:sz="0" w:space="0" w:color="auto"/>
        <w:bottom w:val="none" w:sz="0" w:space="0" w:color="auto"/>
        <w:right w:val="none" w:sz="0" w:space="0" w:color="auto"/>
      </w:divBdr>
      <w:divsChild>
        <w:div w:id="1682008215">
          <w:marLeft w:val="0"/>
          <w:marRight w:val="0"/>
          <w:marTop w:val="0"/>
          <w:marBottom w:val="0"/>
          <w:divBdr>
            <w:top w:val="none" w:sz="0" w:space="0" w:color="auto"/>
            <w:left w:val="none" w:sz="0" w:space="0" w:color="auto"/>
            <w:bottom w:val="none" w:sz="0" w:space="0" w:color="auto"/>
            <w:right w:val="none" w:sz="0" w:space="0" w:color="auto"/>
          </w:divBdr>
        </w:div>
        <w:div w:id="13849078">
          <w:marLeft w:val="0"/>
          <w:marRight w:val="0"/>
          <w:marTop w:val="0"/>
          <w:marBottom w:val="0"/>
          <w:divBdr>
            <w:top w:val="none" w:sz="0" w:space="0" w:color="auto"/>
            <w:left w:val="none" w:sz="0" w:space="0" w:color="auto"/>
            <w:bottom w:val="none" w:sz="0" w:space="0" w:color="auto"/>
            <w:right w:val="none" w:sz="0" w:space="0" w:color="auto"/>
          </w:divBdr>
        </w:div>
        <w:div w:id="1593203633">
          <w:marLeft w:val="0"/>
          <w:marRight w:val="0"/>
          <w:marTop w:val="0"/>
          <w:marBottom w:val="0"/>
          <w:divBdr>
            <w:top w:val="none" w:sz="0" w:space="0" w:color="auto"/>
            <w:left w:val="none" w:sz="0" w:space="0" w:color="auto"/>
            <w:bottom w:val="none" w:sz="0" w:space="0" w:color="auto"/>
            <w:right w:val="none" w:sz="0" w:space="0" w:color="auto"/>
          </w:divBdr>
        </w:div>
        <w:div w:id="953484675">
          <w:marLeft w:val="0"/>
          <w:marRight w:val="0"/>
          <w:marTop w:val="0"/>
          <w:marBottom w:val="0"/>
          <w:divBdr>
            <w:top w:val="none" w:sz="0" w:space="0" w:color="auto"/>
            <w:left w:val="none" w:sz="0" w:space="0" w:color="auto"/>
            <w:bottom w:val="none" w:sz="0" w:space="0" w:color="auto"/>
            <w:right w:val="none" w:sz="0" w:space="0" w:color="auto"/>
          </w:divBdr>
        </w:div>
        <w:div w:id="1793087586">
          <w:marLeft w:val="0"/>
          <w:marRight w:val="0"/>
          <w:marTop w:val="0"/>
          <w:marBottom w:val="0"/>
          <w:divBdr>
            <w:top w:val="none" w:sz="0" w:space="0" w:color="auto"/>
            <w:left w:val="none" w:sz="0" w:space="0" w:color="auto"/>
            <w:bottom w:val="none" w:sz="0" w:space="0" w:color="auto"/>
            <w:right w:val="none" w:sz="0" w:space="0" w:color="auto"/>
          </w:divBdr>
        </w:div>
      </w:divsChild>
    </w:div>
    <w:div w:id="1355956595">
      <w:bodyDiv w:val="1"/>
      <w:marLeft w:val="0"/>
      <w:marRight w:val="0"/>
      <w:marTop w:val="0"/>
      <w:marBottom w:val="0"/>
      <w:divBdr>
        <w:top w:val="none" w:sz="0" w:space="0" w:color="auto"/>
        <w:left w:val="none" w:sz="0" w:space="0" w:color="auto"/>
        <w:bottom w:val="none" w:sz="0" w:space="0" w:color="auto"/>
        <w:right w:val="none" w:sz="0" w:space="0" w:color="auto"/>
      </w:divBdr>
    </w:div>
    <w:div w:id="1447312936">
      <w:bodyDiv w:val="1"/>
      <w:marLeft w:val="0"/>
      <w:marRight w:val="0"/>
      <w:marTop w:val="0"/>
      <w:marBottom w:val="0"/>
      <w:divBdr>
        <w:top w:val="none" w:sz="0" w:space="0" w:color="auto"/>
        <w:left w:val="none" w:sz="0" w:space="0" w:color="auto"/>
        <w:bottom w:val="none" w:sz="0" w:space="0" w:color="auto"/>
        <w:right w:val="none" w:sz="0" w:space="0" w:color="auto"/>
      </w:divBdr>
      <w:divsChild>
        <w:div w:id="1625578446">
          <w:marLeft w:val="0"/>
          <w:marRight w:val="0"/>
          <w:marTop w:val="0"/>
          <w:marBottom w:val="0"/>
          <w:divBdr>
            <w:top w:val="none" w:sz="0" w:space="0" w:color="auto"/>
            <w:left w:val="none" w:sz="0" w:space="0" w:color="auto"/>
            <w:bottom w:val="none" w:sz="0" w:space="0" w:color="auto"/>
            <w:right w:val="none" w:sz="0" w:space="0" w:color="auto"/>
          </w:divBdr>
        </w:div>
        <w:div w:id="602811812">
          <w:marLeft w:val="0"/>
          <w:marRight w:val="0"/>
          <w:marTop w:val="0"/>
          <w:marBottom w:val="0"/>
          <w:divBdr>
            <w:top w:val="none" w:sz="0" w:space="0" w:color="auto"/>
            <w:left w:val="none" w:sz="0" w:space="0" w:color="auto"/>
            <w:bottom w:val="none" w:sz="0" w:space="0" w:color="auto"/>
            <w:right w:val="none" w:sz="0" w:space="0" w:color="auto"/>
          </w:divBdr>
        </w:div>
        <w:div w:id="264384519">
          <w:marLeft w:val="0"/>
          <w:marRight w:val="0"/>
          <w:marTop w:val="0"/>
          <w:marBottom w:val="0"/>
          <w:divBdr>
            <w:top w:val="none" w:sz="0" w:space="0" w:color="auto"/>
            <w:left w:val="none" w:sz="0" w:space="0" w:color="auto"/>
            <w:bottom w:val="none" w:sz="0" w:space="0" w:color="auto"/>
            <w:right w:val="none" w:sz="0" w:space="0" w:color="auto"/>
          </w:divBdr>
        </w:div>
        <w:div w:id="231241003">
          <w:marLeft w:val="0"/>
          <w:marRight w:val="0"/>
          <w:marTop w:val="0"/>
          <w:marBottom w:val="0"/>
          <w:divBdr>
            <w:top w:val="none" w:sz="0" w:space="0" w:color="auto"/>
            <w:left w:val="none" w:sz="0" w:space="0" w:color="auto"/>
            <w:bottom w:val="none" w:sz="0" w:space="0" w:color="auto"/>
            <w:right w:val="none" w:sz="0" w:space="0" w:color="auto"/>
          </w:divBdr>
        </w:div>
        <w:div w:id="787775152">
          <w:marLeft w:val="0"/>
          <w:marRight w:val="0"/>
          <w:marTop w:val="0"/>
          <w:marBottom w:val="0"/>
          <w:divBdr>
            <w:top w:val="none" w:sz="0" w:space="0" w:color="auto"/>
            <w:left w:val="none" w:sz="0" w:space="0" w:color="auto"/>
            <w:bottom w:val="none" w:sz="0" w:space="0" w:color="auto"/>
            <w:right w:val="none" w:sz="0" w:space="0" w:color="auto"/>
          </w:divBdr>
        </w:div>
        <w:div w:id="1704087490">
          <w:marLeft w:val="0"/>
          <w:marRight w:val="0"/>
          <w:marTop w:val="0"/>
          <w:marBottom w:val="0"/>
          <w:divBdr>
            <w:top w:val="none" w:sz="0" w:space="0" w:color="auto"/>
            <w:left w:val="none" w:sz="0" w:space="0" w:color="auto"/>
            <w:bottom w:val="none" w:sz="0" w:space="0" w:color="auto"/>
            <w:right w:val="none" w:sz="0" w:space="0" w:color="auto"/>
          </w:divBdr>
        </w:div>
      </w:divsChild>
    </w:div>
    <w:div w:id="1454398444">
      <w:bodyDiv w:val="1"/>
      <w:marLeft w:val="0"/>
      <w:marRight w:val="0"/>
      <w:marTop w:val="0"/>
      <w:marBottom w:val="0"/>
      <w:divBdr>
        <w:top w:val="none" w:sz="0" w:space="0" w:color="auto"/>
        <w:left w:val="none" w:sz="0" w:space="0" w:color="auto"/>
        <w:bottom w:val="none" w:sz="0" w:space="0" w:color="auto"/>
        <w:right w:val="none" w:sz="0" w:space="0" w:color="auto"/>
      </w:divBdr>
      <w:divsChild>
        <w:div w:id="1191844641">
          <w:marLeft w:val="0"/>
          <w:marRight w:val="0"/>
          <w:marTop w:val="0"/>
          <w:marBottom w:val="0"/>
          <w:divBdr>
            <w:top w:val="none" w:sz="0" w:space="0" w:color="auto"/>
            <w:left w:val="none" w:sz="0" w:space="0" w:color="auto"/>
            <w:bottom w:val="none" w:sz="0" w:space="0" w:color="auto"/>
            <w:right w:val="none" w:sz="0" w:space="0" w:color="auto"/>
          </w:divBdr>
        </w:div>
      </w:divsChild>
    </w:div>
    <w:div w:id="1608805289">
      <w:bodyDiv w:val="1"/>
      <w:marLeft w:val="0"/>
      <w:marRight w:val="0"/>
      <w:marTop w:val="0"/>
      <w:marBottom w:val="0"/>
      <w:divBdr>
        <w:top w:val="none" w:sz="0" w:space="0" w:color="auto"/>
        <w:left w:val="none" w:sz="0" w:space="0" w:color="auto"/>
        <w:bottom w:val="none" w:sz="0" w:space="0" w:color="auto"/>
        <w:right w:val="none" w:sz="0" w:space="0" w:color="auto"/>
      </w:divBdr>
    </w:div>
    <w:div w:id="1610501577">
      <w:bodyDiv w:val="1"/>
      <w:marLeft w:val="0"/>
      <w:marRight w:val="0"/>
      <w:marTop w:val="0"/>
      <w:marBottom w:val="0"/>
      <w:divBdr>
        <w:top w:val="none" w:sz="0" w:space="0" w:color="auto"/>
        <w:left w:val="none" w:sz="0" w:space="0" w:color="auto"/>
        <w:bottom w:val="none" w:sz="0" w:space="0" w:color="auto"/>
        <w:right w:val="none" w:sz="0" w:space="0" w:color="auto"/>
      </w:divBdr>
      <w:divsChild>
        <w:div w:id="973827732">
          <w:marLeft w:val="0"/>
          <w:marRight w:val="0"/>
          <w:marTop w:val="0"/>
          <w:marBottom w:val="0"/>
          <w:divBdr>
            <w:top w:val="none" w:sz="0" w:space="0" w:color="auto"/>
            <w:left w:val="none" w:sz="0" w:space="0" w:color="auto"/>
            <w:bottom w:val="none" w:sz="0" w:space="0" w:color="auto"/>
            <w:right w:val="none" w:sz="0" w:space="0" w:color="auto"/>
          </w:divBdr>
        </w:div>
        <w:div w:id="1279920648">
          <w:marLeft w:val="0"/>
          <w:marRight w:val="0"/>
          <w:marTop w:val="0"/>
          <w:marBottom w:val="0"/>
          <w:divBdr>
            <w:top w:val="none" w:sz="0" w:space="0" w:color="auto"/>
            <w:left w:val="none" w:sz="0" w:space="0" w:color="auto"/>
            <w:bottom w:val="none" w:sz="0" w:space="0" w:color="auto"/>
            <w:right w:val="none" w:sz="0" w:space="0" w:color="auto"/>
          </w:divBdr>
        </w:div>
        <w:div w:id="1525287190">
          <w:marLeft w:val="0"/>
          <w:marRight w:val="0"/>
          <w:marTop w:val="0"/>
          <w:marBottom w:val="0"/>
          <w:divBdr>
            <w:top w:val="none" w:sz="0" w:space="0" w:color="auto"/>
            <w:left w:val="none" w:sz="0" w:space="0" w:color="auto"/>
            <w:bottom w:val="none" w:sz="0" w:space="0" w:color="auto"/>
            <w:right w:val="none" w:sz="0" w:space="0" w:color="auto"/>
          </w:divBdr>
        </w:div>
        <w:div w:id="249049003">
          <w:marLeft w:val="0"/>
          <w:marRight w:val="0"/>
          <w:marTop w:val="0"/>
          <w:marBottom w:val="0"/>
          <w:divBdr>
            <w:top w:val="none" w:sz="0" w:space="0" w:color="auto"/>
            <w:left w:val="none" w:sz="0" w:space="0" w:color="auto"/>
            <w:bottom w:val="none" w:sz="0" w:space="0" w:color="auto"/>
            <w:right w:val="none" w:sz="0" w:space="0" w:color="auto"/>
          </w:divBdr>
        </w:div>
        <w:div w:id="1540824540">
          <w:marLeft w:val="0"/>
          <w:marRight w:val="0"/>
          <w:marTop w:val="0"/>
          <w:marBottom w:val="0"/>
          <w:divBdr>
            <w:top w:val="none" w:sz="0" w:space="0" w:color="auto"/>
            <w:left w:val="none" w:sz="0" w:space="0" w:color="auto"/>
            <w:bottom w:val="none" w:sz="0" w:space="0" w:color="auto"/>
            <w:right w:val="none" w:sz="0" w:space="0" w:color="auto"/>
          </w:divBdr>
        </w:div>
        <w:div w:id="336814686">
          <w:marLeft w:val="0"/>
          <w:marRight w:val="0"/>
          <w:marTop w:val="0"/>
          <w:marBottom w:val="0"/>
          <w:divBdr>
            <w:top w:val="none" w:sz="0" w:space="0" w:color="auto"/>
            <w:left w:val="none" w:sz="0" w:space="0" w:color="auto"/>
            <w:bottom w:val="none" w:sz="0" w:space="0" w:color="auto"/>
            <w:right w:val="none" w:sz="0" w:space="0" w:color="auto"/>
          </w:divBdr>
        </w:div>
      </w:divsChild>
    </w:div>
    <w:div w:id="1627547338">
      <w:bodyDiv w:val="1"/>
      <w:marLeft w:val="0"/>
      <w:marRight w:val="0"/>
      <w:marTop w:val="0"/>
      <w:marBottom w:val="0"/>
      <w:divBdr>
        <w:top w:val="none" w:sz="0" w:space="0" w:color="auto"/>
        <w:left w:val="none" w:sz="0" w:space="0" w:color="auto"/>
        <w:bottom w:val="none" w:sz="0" w:space="0" w:color="auto"/>
        <w:right w:val="none" w:sz="0" w:space="0" w:color="auto"/>
      </w:divBdr>
      <w:divsChild>
        <w:div w:id="482698259">
          <w:marLeft w:val="0"/>
          <w:marRight w:val="0"/>
          <w:marTop w:val="0"/>
          <w:marBottom w:val="0"/>
          <w:divBdr>
            <w:top w:val="none" w:sz="0" w:space="0" w:color="auto"/>
            <w:left w:val="none" w:sz="0" w:space="0" w:color="auto"/>
            <w:bottom w:val="none" w:sz="0" w:space="0" w:color="auto"/>
            <w:right w:val="none" w:sz="0" w:space="0" w:color="auto"/>
          </w:divBdr>
        </w:div>
        <w:div w:id="1661931884">
          <w:marLeft w:val="0"/>
          <w:marRight w:val="0"/>
          <w:marTop w:val="0"/>
          <w:marBottom w:val="0"/>
          <w:divBdr>
            <w:top w:val="none" w:sz="0" w:space="0" w:color="auto"/>
            <w:left w:val="none" w:sz="0" w:space="0" w:color="auto"/>
            <w:bottom w:val="none" w:sz="0" w:space="0" w:color="auto"/>
            <w:right w:val="none" w:sz="0" w:space="0" w:color="auto"/>
          </w:divBdr>
        </w:div>
        <w:div w:id="2036953298">
          <w:marLeft w:val="0"/>
          <w:marRight w:val="0"/>
          <w:marTop w:val="0"/>
          <w:marBottom w:val="0"/>
          <w:divBdr>
            <w:top w:val="none" w:sz="0" w:space="0" w:color="auto"/>
            <w:left w:val="none" w:sz="0" w:space="0" w:color="auto"/>
            <w:bottom w:val="none" w:sz="0" w:space="0" w:color="auto"/>
            <w:right w:val="none" w:sz="0" w:space="0" w:color="auto"/>
          </w:divBdr>
        </w:div>
      </w:divsChild>
    </w:div>
    <w:div w:id="1698386275">
      <w:bodyDiv w:val="1"/>
      <w:marLeft w:val="0"/>
      <w:marRight w:val="0"/>
      <w:marTop w:val="0"/>
      <w:marBottom w:val="0"/>
      <w:divBdr>
        <w:top w:val="none" w:sz="0" w:space="0" w:color="auto"/>
        <w:left w:val="none" w:sz="0" w:space="0" w:color="auto"/>
        <w:bottom w:val="none" w:sz="0" w:space="0" w:color="auto"/>
        <w:right w:val="none" w:sz="0" w:space="0" w:color="auto"/>
      </w:divBdr>
      <w:divsChild>
        <w:div w:id="955718430">
          <w:marLeft w:val="0"/>
          <w:marRight w:val="0"/>
          <w:marTop w:val="0"/>
          <w:marBottom w:val="0"/>
          <w:divBdr>
            <w:top w:val="none" w:sz="0" w:space="0" w:color="auto"/>
            <w:left w:val="none" w:sz="0" w:space="0" w:color="auto"/>
            <w:bottom w:val="none" w:sz="0" w:space="0" w:color="auto"/>
            <w:right w:val="none" w:sz="0" w:space="0" w:color="auto"/>
          </w:divBdr>
        </w:div>
      </w:divsChild>
    </w:div>
    <w:div w:id="1727024500">
      <w:bodyDiv w:val="1"/>
      <w:marLeft w:val="0"/>
      <w:marRight w:val="0"/>
      <w:marTop w:val="0"/>
      <w:marBottom w:val="0"/>
      <w:divBdr>
        <w:top w:val="none" w:sz="0" w:space="0" w:color="auto"/>
        <w:left w:val="none" w:sz="0" w:space="0" w:color="auto"/>
        <w:bottom w:val="none" w:sz="0" w:space="0" w:color="auto"/>
        <w:right w:val="none" w:sz="0" w:space="0" w:color="auto"/>
      </w:divBdr>
      <w:divsChild>
        <w:div w:id="967858645">
          <w:marLeft w:val="0"/>
          <w:marRight w:val="0"/>
          <w:marTop w:val="0"/>
          <w:marBottom w:val="0"/>
          <w:divBdr>
            <w:top w:val="none" w:sz="0" w:space="0" w:color="auto"/>
            <w:left w:val="none" w:sz="0" w:space="0" w:color="auto"/>
            <w:bottom w:val="none" w:sz="0" w:space="0" w:color="auto"/>
            <w:right w:val="none" w:sz="0" w:space="0" w:color="auto"/>
          </w:divBdr>
        </w:div>
        <w:div w:id="1954091246">
          <w:marLeft w:val="0"/>
          <w:marRight w:val="0"/>
          <w:marTop w:val="0"/>
          <w:marBottom w:val="0"/>
          <w:divBdr>
            <w:top w:val="none" w:sz="0" w:space="0" w:color="auto"/>
            <w:left w:val="none" w:sz="0" w:space="0" w:color="auto"/>
            <w:bottom w:val="none" w:sz="0" w:space="0" w:color="auto"/>
            <w:right w:val="none" w:sz="0" w:space="0" w:color="auto"/>
          </w:divBdr>
        </w:div>
        <w:div w:id="264925086">
          <w:marLeft w:val="0"/>
          <w:marRight w:val="0"/>
          <w:marTop w:val="0"/>
          <w:marBottom w:val="0"/>
          <w:divBdr>
            <w:top w:val="none" w:sz="0" w:space="0" w:color="auto"/>
            <w:left w:val="none" w:sz="0" w:space="0" w:color="auto"/>
            <w:bottom w:val="none" w:sz="0" w:space="0" w:color="auto"/>
            <w:right w:val="none" w:sz="0" w:space="0" w:color="auto"/>
          </w:divBdr>
        </w:div>
        <w:div w:id="735935619">
          <w:marLeft w:val="0"/>
          <w:marRight w:val="0"/>
          <w:marTop w:val="0"/>
          <w:marBottom w:val="0"/>
          <w:divBdr>
            <w:top w:val="none" w:sz="0" w:space="0" w:color="auto"/>
            <w:left w:val="none" w:sz="0" w:space="0" w:color="auto"/>
            <w:bottom w:val="none" w:sz="0" w:space="0" w:color="auto"/>
            <w:right w:val="none" w:sz="0" w:space="0" w:color="auto"/>
          </w:divBdr>
        </w:div>
        <w:div w:id="1606881811">
          <w:marLeft w:val="0"/>
          <w:marRight w:val="0"/>
          <w:marTop w:val="0"/>
          <w:marBottom w:val="0"/>
          <w:divBdr>
            <w:top w:val="none" w:sz="0" w:space="0" w:color="auto"/>
            <w:left w:val="none" w:sz="0" w:space="0" w:color="auto"/>
            <w:bottom w:val="none" w:sz="0" w:space="0" w:color="auto"/>
            <w:right w:val="none" w:sz="0" w:space="0" w:color="auto"/>
          </w:divBdr>
        </w:div>
      </w:divsChild>
    </w:div>
    <w:div w:id="1730229381">
      <w:bodyDiv w:val="1"/>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
        <w:div w:id="210503838">
          <w:marLeft w:val="0"/>
          <w:marRight w:val="0"/>
          <w:marTop w:val="0"/>
          <w:marBottom w:val="0"/>
          <w:divBdr>
            <w:top w:val="none" w:sz="0" w:space="0" w:color="auto"/>
            <w:left w:val="none" w:sz="0" w:space="0" w:color="auto"/>
            <w:bottom w:val="none" w:sz="0" w:space="0" w:color="auto"/>
            <w:right w:val="none" w:sz="0" w:space="0" w:color="auto"/>
          </w:divBdr>
        </w:div>
        <w:div w:id="707071075">
          <w:marLeft w:val="0"/>
          <w:marRight w:val="0"/>
          <w:marTop w:val="0"/>
          <w:marBottom w:val="0"/>
          <w:divBdr>
            <w:top w:val="none" w:sz="0" w:space="0" w:color="auto"/>
            <w:left w:val="none" w:sz="0" w:space="0" w:color="auto"/>
            <w:bottom w:val="none" w:sz="0" w:space="0" w:color="auto"/>
            <w:right w:val="none" w:sz="0" w:space="0" w:color="auto"/>
          </w:divBdr>
        </w:div>
        <w:div w:id="1053580454">
          <w:marLeft w:val="0"/>
          <w:marRight w:val="0"/>
          <w:marTop w:val="0"/>
          <w:marBottom w:val="0"/>
          <w:divBdr>
            <w:top w:val="none" w:sz="0" w:space="0" w:color="auto"/>
            <w:left w:val="none" w:sz="0" w:space="0" w:color="auto"/>
            <w:bottom w:val="none" w:sz="0" w:space="0" w:color="auto"/>
            <w:right w:val="none" w:sz="0" w:space="0" w:color="auto"/>
          </w:divBdr>
        </w:div>
      </w:divsChild>
    </w:div>
    <w:div w:id="1787584045">
      <w:bodyDiv w:val="1"/>
      <w:marLeft w:val="0"/>
      <w:marRight w:val="0"/>
      <w:marTop w:val="0"/>
      <w:marBottom w:val="0"/>
      <w:divBdr>
        <w:top w:val="none" w:sz="0" w:space="0" w:color="auto"/>
        <w:left w:val="none" w:sz="0" w:space="0" w:color="auto"/>
        <w:bottom w:val="none" w:sz="0" w:space="0" w:color="auto"/>
        <w:right w:val="none" w:sz="0" w:space="0" w:color="auto"/>
      </w:divBdr>
      <w:divsChild>
        <w:div w:id="367679098">
          <w:marLeft w:val="0"/>
          <w:marRight w:val="0"/>
          <w:marTop w:val="0"/>
          <w:marBottom w:val="0"/>
          <w:divBdr>
            <w:top w:val="none" w:sz="0" w:space="0" w:color="auto"/>
            <w:left w:val="none" w:sz="0" w:space="0" w:color="auto"/>
            <w:bottom w:val="none" w:sz="0" w:space="0" w:color="auto"/>
            <w:right w:val="none" w:sz="0" w:space="0" w:color="auto"/>
          </w:divBdr>
        </w:div>
        <w:div w:id="522016460">
          <w:marLeft w:val="0"/>
          <w:marRight w:val="0"/>
          <w:marTop w:val="0"/>
          <w:marBottom w:val="0"/>
          <w:divBdr>
            <w:top w:val="none" w:sz="0" w:space="0" w:color="auto"/>
            <w:left w:val="none" w:sz="0" w:space="0" w:color="auto"/>
            <w:bottom w:val="none" w:sz="0" w:space="0" w:color="auto"/>
            <w:right w:val="none" w:sz="0" w:space="0" w:color="auto"/>
          </w:divBdr>
        </w:div>
        <w:div w:id="1742409572">
          <w:marLeft w:val="0"/>
          <w:marRight w:val="0"/>
          <w:marTop w:val="0"/>
          <w:marBottom w:val="0"/>
          <w:divBdr>
            <w:top w:val="none" w:sz="0" w:space="0" w:color="auto"/>
            <w:left w:val="none" w:sz="0" w:space="0" w:color="auto"/>
            <w:bottom w:val="none" w:sz="0" w:space="0" w:color="auto"/>
            <w:right w:val="none" w:sz="0" w:space="0" w:color="auto"/>
          </w:divBdr>
        </w:div>
      </w:divsChild>
    </w:div>
    <w:div w:id="1972321960">
      <w:bodyDiv w:val="1"/>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
        <w:div w:id="1802334727">
          <w:marLeft w:val="0"/>
          <w:marRight w:val="0"/>
          <w:marTop w:val="0"/>
          <w:marBottom w:val="0"/>
          <w:divBdr>
            <w:top w:val="none" w:sz="0" w:space="0" w:color="auto"/>
            <w:left w:val="none" w:sz="0" w:space="0" w:color="auto"/>
            <w:bottom w:val="none" w:sz="0" w:space="0" w:color="auto"/>
            <w:right w:val="none" w:sz="0" w:space="0" w:color="auto"/>
          </w:divBdr>
        </w:div>
        <w:div w:id="428158362">
          <w:marLeft w:val="0"/>
          <w:marRight w:val="0"/>
          <w:marTop w:val="0"/>
          <w:marBottom w:val="0"/>
          <w:divBdr>
            <w:top w:val="none" w:sz="0" w:space="0" w:color="auto"/>
            <w:left w:val="none" w:sz="0" w:space="0" w:color="auto"/>
            <w:bottom w:val="none" w:sz="0" w:space="0" w:color="auto"/>
            <w:right w:val="none" w:sz="0" w:space="0" w:color="auto"/>
          </w:divBdr>
        </w:div>
        <w:div w:id="1884708861">
          <w:marLeft w:val="0"/>
          <w:marRight w:val="0"/>
          <w:marTop w:val="0"/>
          <w:marBottom w:val="0"/>
          <w:divBdr>
            <w:top w:val="none" w:sz="0" w:space="0" w:color="auto"/>
            <w:left w:val="none" w:sz="0" w:space="0" w:color="auto"/>
            <w:bottom w:val="none" w:sz="0" w:space="0" w:color="auto"/>
            <w:right w:val="none" w:sz="0" w:space="0" w:color="auto"/>
          </w:divBdr>
        </w:div>
        <w:div w:id="362440814">
          <w:marLeft w:val="0"/>
          <w:marRight w:val="0"/>
          <w:marTop w:val="0"/>
          <w:marBottom w:val="0"/>
          <w:divBdr>
            <w:top w:val="none" w:sz="0" w:space="0" w:color="auto"/>
            <w:left w:val="none" w:sz="0" w:space="0" w:color="auto"/>
            <w:bottom w:val="none" w:sz="0" w:space="0" w:color="auto"/>
            <w:right w:val="none" w:sz="0" w:space="0" w:color="auto"/>
          </w:divBdr>
        </w:div>
      </w:divsChild>
    </w:div>
    <w:div w:id="2116367104">
      <w:bodyDiv w:val="1"/>
      <w:marLeft w:val="0"/>
      <w:marRight w:val="0"/>
      <w:marTop w:val="0"/>
      <w:marBottom w:val="0"/>
      <w:divBdr>
        <w:top w:val="none" w:sz="0" w:space="0" w:color="auto"/>
        <w:left w:val="none" w:sz="0" w:space="0" w:color="auto"/>
        <w:bottom w:val="none" w:sz="0" w:space="0" w:color="auto"/>
        <w:right w:val="none" w:sz="0" w:space="0" w:color="auto"/>
      </w:divBdr>
    </w:div>
    <w:div w:id="2139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CA62CF59A384296B13533C91D4FD0" ma:contentTypeVersion="17" ma:contentTypeDescription="Create a new document." ma:contentTypeScope="" ma:versionID="6745d36a116b1409c3e2a648431ba379">
  <xsd:schema xmlns:xsd="http://www.w3.org/2001/XMLSchema" xmlns:xs="http://www.w3.org/2001/XMLSchema" xmlns:p="http://schemas.microsoft.com/office/2006/metadata/properties" xmlns:ns2="10ca458b-e7e4-48df-bb5e-ddc09d7eb974" xmlns:ns3="b3e4dc12-621e-4585-a1cf-dc4e081e9754" targetNamespace="http://schemas.microsoft.com/office/2006/metadata/properties" ma:root="true" ma:fieldsID="a367706fb12bfa3b34a3185a00f77b4e" ns2:_="" ns3:_="">
    <xsd:import namespace="10ca458b-e7e4-48df-bb5e-ddc09d7eb974"/>
    <xsd:import namespace="b3e4dc12-621e-4585-a1cf-dc4e081e9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a458b-e7e4-48df-bb5e-ddc09d7eb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3559f5-bf3e-45d6-b2ae-ff53396d28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4dc12-621e-4585-a1cf-dc4e081e97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172036-338a-4ca4-97b7-811b3764dbbf}" ma:internalName="TaxCatchAll" ma:showField="CatchAllData" ma:web="b3e4dc12-621e-4585-a1cf-dc4e081e9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e4dc12-621e-4585-a1cf-dc4e081e9754" xsi:nil="true"/>
    <lcf76f155ced4ddcb4097134ff3c332f xmlns="10ca458b-e7e4-48df-bb5e-ddc09d7eb9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C5C2-A991-4A62-90D3-D6CC90B36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a458b-e7e4-48df-bb5e-ddc09d7eb974"/>
    <ds:schemaRef ds:uri="b3e4dc12-621e-4585-a1cf-dc4e081e9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A67C7-5D40-4D8D-AB18-54AD5321C907}">
  <ds:schemaRefs>
    <ds:schemaRef ds:uri="http://schemas.microsoft.com/sharepoint/v3/contenttype/forms"/>
  </ds:schemaRefs>
</ds:datastoreItem>
</file>

<file path=customXml/itemProps3.xml><?xml version="1.0" encoding="utf-8"?>
<ds:datastoreItem xmlns:ds="http://schemas.openxmlformats.org/officeDocument/2006/customXml" ds:itemID="{22BD29A2-19E9-4D22-8DA1-6F1BE2C162D8}">
  <ds:schemaRefs>
    <ds:schemaRef ds:uri="http://schemas.microsoft.com/office/2006/metadata/properties"/>
    <ds:schemaRef ds:uri="http://schemas.microsoft.com/office/infopath/2007/PartnerControls"/>
    <ds:schemaRef ds:uri="b3e4dc12-621e-4585-a1cf-dc4e081e9754"/>
    <ds:schemaRef ds:uri="10ca458b-e7e4-48df-bb5e-ddc09d7eb974"/>
  </ds:schemaRefs>
</ds:datastoreItem>
</file>

<file path=customXml/itemProps4.xml><?xml version="1.0" encoding="utf-8"?>
<ds:datastoreItem xmlns:ds="http://schemas.openxmlformats.org/officeDocument/2006/customXml" ds:itemID="{C3D79768-4AF9-498F-9304-45B1C993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2404</Words>
  <Characters>13708</Characters>
  <Application>Microsoft Office Word</Application>
  <DocSecurity>0</DocSecurity>
  <Lines>114</Lines>
  <Paragraphs>32</Paragraphs>
  <ScaleCrop>false</ScaleCrop>
  <Company>Microsoft</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Sejal</dc:creator>
  <cp:lastModifiedBy>Amelia Marritz</cp:lastModifiedBy>
  <cp:revision>57</cp:revision>
  <cp:lastPrinted>2015-06-05T13:28:00Z</cp:lastPrinted>
  <dcterms:created xsi:type="dcterms:W3CDTF">2023-03-10T14:00:00Z</dcterms:created>
  <dcterms:modified xsi:type="dcterms:W3CDTF">2023-03-10T14:57:00Z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0x010100807CA62CF59A384296B13533C91D4FD0</vt:lpwstr>
  </property>
  <property fmtid="{D5CDD505-2E9C-101B-9397-08002B2CF9AE}" pid="3" name="Order">
    <vt:r8>506700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