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4C4A" w:rsidP="00E54C4A" w:rsidRDefault="00E54C4A" w14:paraId="5C0362ED" w14:textId="77777777">
      <w:pPr>
        <w:jc w:val="center"/>
        <w:rPr>
          <w:b/>
          <w:bCs/>
          <w:color w:val="000000" w:themeColor="text1"/>
        </w:rPr>
      </w:pPr>
      <w:r w:rsidRPr="002C5593">
        <w:rPr>
          <w:b/>
          <w:bCs/>
          <w:color w:val="000000" w:themeColor="text1"/>
        </w:rPr>
        <w:t>EXECUTIVE OFFICE FOR IMMIGRATION REVIEW</w:t>
      </w:r>
    </w:p>
    <w:p w:rsidR="00E54C4A" w:rsidP="00E54C4A" w:rsidRDefault="00E54C4A" w14:paraId="08F708B9" w14:textId="0B04C957">
      <w:pPr>
        <w:jc w:val="center"/>
        <w:rPr>
          <w:b/>
          <w:bCs/>
          <w:color w:val="000000" w:themeColor="text1"/>
        </w:rPr>
      </w:pPr>
      <w:r>
        <w:rPr>
          <w:b/>
          <w:bCs/>
          <w:color w:val="000000" w:themeColor="text1"/>
        </w:rPr>
        <w:t>OFFICE OF THE IMMIGRATION JUDGE,</w:t>
      </w:r>
      <w:r>
        <w:rPr>
          <w:b/>
          <w:bCs/>
          <w:color w:val="000000" w:themeColor="text1"/>
        </w:rPr>
        <w:t xml:space="preserve"> ________________(</w:t>
      </w:r>
      <w:r>
        <w:rPr>
          <w:b/>
          <w:bCs/>
          <w:color w:val="000000" w:themeColor="text1"/>
        </w:rPr>
        <w:t>CITY</w:t>
      </w:r>
      <w:r>
        <w:rPr>
          <w:b/>
          <w:bCs/>
          <w:color w:val="000000" w:themeColor="text1"/>
        </w:rPr>
        <w:t>), ______(</w:t>
      </w:r>
      <w:r>
        <w:rPr>
          <w:b/>
          <w:bCs/>
          <w:color w:val="000000" w:themeColor="text1"/>
        </w:rPr>
        <w:t>STATE</w:t>
      </w:r>
      <w:r>
        <w:rPr>
          <w:b/>
          <w:bCs/>
          <w:color w:val="000000" w:themeColor="text1"/>
        </w:rPr>
        <w:t>)</w:t>
      </w:r>
    </w:p>
    <w:p w:rsidR="00E54C4A" w:rsidP="00E54C4A" w:rsidRDefault="00E54C4A" w14:paraId="081666E5" w14:textId="77777777">
      <w:pPr>
        <w:jc w:val="center"/>
        <w:rPr>
          <w:b/>
          <w:bCs/>
          <w:color w:val="000000" w:themeColor="text1"/>
        </w:rPr>
      </w:pPr>
      <w:r>
        <w:rPr>
          <w:b/>
          <w:bCs/>
          <w:color w:val="000000" w:themeColor="text1"/>
        </w:rPr>
        <w:t>BOARD OF IMMIGRATION APPEALS, FALLS CHURCH, VA</w:t>
      </w:r>
    </w:p>
    <w:p w:rsidR="00E54C4A" w:rsidP="00E54C4A" w:rsidRDefault="00E54C4A" w14:paraId="5E760FD1" w14:textId="77777777">
      <w:pPr>
        <w:rPr>
          <w:b/>
          <w:bCs/>
          <w:color w:val="000000" w:themeColor="text1"/>
        </w:rPr>
      </w:pPr>
    </w:p>
    <w:tbl>
      <w:tblPr>
        <w:tblStyle w:val="TableGrid"/>
        <w:tblW w:w="0" w:type="auto"/>
        <w:tblLook w:val="04A0" w:firstRow="1" w:lastRow="0" w:firstColumn="1" w:lastColumn="0" w:noHBand="0" w:noVBand="1"/>
      </w:tblPr>
      <w:tblGrid>
        <w:gridCol w:w="4675"/>
        <w:gridCol w:w="4675"/>
      </w:tblGrid>
      <w:tr w:rsidR="00E54C4A" w:rsidTr="725FB62D" w14:paraId="7BEB1796" w14:textId="77777777">
        <w:tc>
          <w:tcPr>
            <w:tcW w:w="4675" w:type="dxa"/>
            <w:tcMar/>
          </w:tcPr>
          <w:p w:rsidR="00E54C4A" w:rsidP="00C419C6" w:rsidRDefault="00E54C4A" w14:paraId="7249C0B4" w14:textId="77777777">
            <w:pPr>
              <w:rPr>
                <w:b/>
                <w:bCs/>
                <w:color w:val="000000" w:themeColor="text1"/>
                <w:u w:val="single"/>
              </w:rPr>
            </w:pPr>
            <w:r>
              <w:rPr>
                <w:b/>
                <w:bCs/>
                <w:color w:val="000000" w:themeColor="text1"/>
                <w:u w:val="single"/>
              </w:rPr>
              <w:t>_______________________________</w:t>
            </w:r>
          </w:p>
          <w:p w:rsidR="00E54C4A" w:rsidP="00C419C6" w:rsidRDefault="00E54C4A" w14:paraId="1272BC4B" w14:textId="77777777">
            <w:pPr>
              <w:rPr>
                <w:b/>
                <w:bCs/>
                <w:color w:val="000000" w:themeColor="text1"/>
              </w:rPr>
            </w:pP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w:t>
            </w:r>
          </w:p>
          <w:p w:rsidR="00E54C4A" w:rsidP="00C419C6" w:rsidRDefault="00E54C4A" w14:paraId="56AE494F" w14:textId="77777777">
            <w:pPr>
              <w:rPr>
                <w:b/>
                <w:bCs/>
                <w:color w:val="000000" w:themeColor="text1"/>
              </w:rPr>
            </w:pP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w:t>
            </w:r>
          </w:p>
          <w:p w:rsidR="00E54C4A" w:rsidP="00C419C6" w:rsidRDefault="00E54C4A" w14:paraId="773F4126" w14:textId="642CCF30">
            <w:pPr>
              <w:rPr>
                <w:b/>
                <w:bCs/>
                <w:color w:val="000000" w:themeColor="text1"/>
              </w:rPr>
            </w:pPr>
            <w:r>
              <w:rPr>
                <w:b/>
                <w:bCs/>
                <w:color w:val="000000" w:themeColor="text1"/>
              </w:rPr>
              <w:t>In re.</w:t>
            </w:r>
            <w:r>
              <w:rPr>
                <w:b/>
                <w:bCs/>
                <w:color w:val="000000" w:themeColor="text1"/>
              </w:rPr>
              <w:tab/>
            </w:r>
            <w:r>
              <w:rPr>
                <w:b/>
                <w:bCs/>
                <w:color w:val="000000" w:themeColor="text1"/>
              </w:rPr>
              <w:t>_____________</w:t>
            </w:r>
            <w:r>
              <w:rPr>
                <w:b/>
                <w:bCs/>
                <w:color w:val="000000" w:themeColor="text1"/>
              </w:rPr>
              <w:t>____</w:t>
            </w:r>
            <w:r>
              <w:rPr>
                <w:b/>
                <w:bCs/>
                <w:color w:val="000000" w:themeColor="text1"/>
              </w:rPr>
              <w:t xml:space="preserve">(Name) </w:t>
            </w:r>
            <w:r>
              <w:rPr>
                <w:b/>
                <w:bCs/>
                <w:color w:val="000000" w:themeColor="text1"/>
              </w:rPr>
              <w:tab/>
            </w:r>
            <w:r>
              <w:rPr>
                <w:b/>
                <w:bCs/>
                <w:color w:val="000000" w:themeColor="text1"/>
              </w:rPr>
              <w:t>)</w:t>
            </w:r>
          </w:p>
          <w:p w:rsidR="00E54C4A" w:rsidP="00C419C6" w:rsidRDefault="00E54C4A" w14:paraId="50B34CC2" w14:textId="3331E7D1">
            <w:pPr>
              <w:rPr>
                <w:b/>
                <w:bCs/>
                <w:color w:val="000000" w:themeColor="text1"/>
              </w:rPr>
            </w:pPr>
            <w:r>
              <w:rPr>
                <w:b/>
                <w:bCs/>
                <w:color w:val="000000" w:themeColor="text1"/>
              </w:rPr>
              <w:t xml:space="preserve">            _____________</w:t>
            </w:r>
            <w:r>
              <w:rPr>
                <w:b/>
                <w:bCs/>
                <w:color w:val="000000" w:themeColor="text1"/>
              </w:rPr>
              <w:t>____</w:t>
            </w:r>
            <w:r>
              <w:rPr>
                <w:b/>
                <w:bCs/>
                <w:color w:val="000000" w:themeColor="text1"/>
              </w:rPr>
              <w:tab/>
            </w:r>
            <w:r>
              <w:rPr>
                <w:b/>
                <w:bCs/>
                <w:color w:val="000000" w:themeColor="text1"/>
              </w:rPr>
              <w:tab/>
            </w:r>
            <w:r>
              <w:rPr>
                <w:b/>
                <w:bCs/>
                <w:color w:val="000000" w:themeColor="text1"/>
              </w:rPr>
              <w:t>)</w:t>
            </w:r>
          </w:p>
          <w:p w:rsidR="00E54C4A" w:rsidP="00C419C6" w:rsidRDefault="00E54C4A" w14:paraId="0994955B" w14:textId="7502AFEF">
            <w:pPr>
              <w:rPr>
                <w:b w:val="1"/>
                <w:bCs w:val="1"/>
                <w:color w:val="000000" w:themeColor="text1"/>
              </w:rPr>
            </w:pPr>
            <w:r>
              <w:rPr>
                <w:b/>
                <w:bCs/>
                <w:color w:val="000000" w:themeColor="text1"/>
              </w:rPr>
              <w:tab/>
            </w:r>
            <w:r w:rsidR="00E54C4A">
              <w:rPr>
                <w:b w:val="1"/>
                <w:bCs w:val="1"/>
                <w:color w:val="000000" w:themeColor="text1"/>
              </w:rPr>
              <w:t>_____________</w:t>
            </w:r>
            <w:r w:rsidR="00E54C4A">
              <w:rPr>
                <w:b w:val="1"/>
                <w:bCs w:val="1"/>
                <w:color w:val="000000" w:themeColor="text1"/>
              </w:rPr>
              <w:t>____</w:t>
            </w:r>
            <w:r w:rsidR="00E54C4A">
              <w:rPr>
                <w:b w:val="1"/>
                <w:bCs w:val="1"/>
                <w:color w:val="000000" w:themeColor="text1"/>
              </w:rPr>
              <w:t>(A#)</w:t>
            </w:r>
            <w:r>
              <w:rPr>
                <w:b/>
                <w:bCs/>
                <w:color w:val="000000" w:themeColor="text1"/>
              </w:rPr>
              <w:tab/>
            </w:r>
            <w:r w:rsidRPr="725FB62D" w:rsidR="00E54C4A">
              <w:rPr>
                <w:b w:val="1"/>
                <w:bCs w:val="1"/>
                <w:color w:val="000000" w:themeColor="text1" w:themeTint="FF" w:themeShade="FF"/>
              </w:rPr>
              <w:t>)</w:t>
            </w:r>
            <w:r>
              <w:rPr>
                <w:b/>
                <w:bCs/>
                <w:color w:val="000000" w:themeColor="text1"/>
              </w:rPr>
              <w:tab/>
            </w:r>
          </w:p>
          <w:p w:rsidR="00E54C4A" w:rsidP="00C419C6" w:rsidRDefault="00E54C4A" w14:paraId="24328699" w14:textId="77777777">
            <w:pPr>
              <w:rPr>
                <w:b/>
                <w:bCs/>
                <w:color w:val="000000" w:themeColor="text1"/>
              </w:rPr>
            </w:pP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w:t>
            </w:r>
          </w:p>
          <w:p w:rsidR="00E54C4A" w:rsidP="00C419C6" w:rsidRDefault="00E54C4A" w14:paraId="41625A72" w14:textId="77777777">
            <w:pPr>
              <w:rPr>
                <w:b/>
                <w:bCs/>
                <w:color w:val="000000" w:themeColor="text1"/>
              </w:rPr>
            </w:pPr>
            <w:r>
              <w:rPr>
                <w:b/>
                <w:bCs/>
                <w:color w:val="000000" w:themeColor="text1"/>
              </w:rPr>
              <w:t>_______________________________</w:t>
            </w:r>
          </w:p>
          <w:p w:rsidR="00E54C4A" w:rsidP="00C419C6" w:rsidRDefault="00E54C4A" w14:paraId="7534B076" w14:textId="77777777">
            <w:pPr>
              <w:rPr>
                <w:b/>
                <w:bCs/>
                <w:color w:val="000000" w:themeColor="text1"/>
              </w:rPr>
            </w:pPr>
          </w:p>
        </w:tc>
        <w:tc>
          <w:tcPr>
            <w:tcW w:w="4675" w:type="dxa"/>
            <w:tcMar/>
          </w:tcPr>
          <w:p w:rsidR="00E54C4A" w:rsidP="00C419C6" w:rsidRDefault="00E54C4A" w14:paraId="01629209" w14:textId="77777777">
            <w:pPr>
              <w:rPr>
                <w:b/>
                <w:bCs/>
                <w:color w:val="000000" w:themeColor="text1"/>
              </w:rPr>
            </w:pPr>
          </w:p>
          <w:p w:rsidR="00E54C4A" w:rsidP="00C419C6" w:rsidRDefault="00E54C4A" w14:paraId="3D891DCA" w14:textId="77777777">
            <w:pPr>
              <w:rPr>
                <w:b/>
                <w:bCs/>
                <w:color w:val="000000" w:themeColor="text1"/>
              </w:rPr>
            </w:pPr>
          </w:p>
          <w:p w:rsidR="00E54C4A" w:rsidP="00C419C6" w:rsidRDefault="00E54C4A" w14:paraId="5048A2E7" w14:textId="77777777">
            <w:pPr>
              <w:rPr>
                <w:b/>
                <w:bCs/>
                <w:color w:val="000000" w:themeColor="text1"/>
              </w:rPr>
            </w:pPr>
            <w:r>
              <w:rPr>
                <w:b/>
                <w:bCs/>
                <w:color w:val="000000" w:themeColor="text1"/>
              </w:rPr>
              <w:t xml:space="preserve">Memorandum of Law in Support of </w:t>
            </w:r>
          </w:p>
          <w:p w:rsidRPr="002C5593" w:rsidR="00E54C4A" w:rsidP="00C419C6" w:rsidRDefault="00E54C4A" w14:paraId="0D9E5907" w14:textId="77777777">
            <w:pPr>
              <w:rPr>
                <w:b/>
                <w:bCs/>
                <w:color w:val="000000" w:themeColor="text1"/>
              </w:rPr>
            </w:pPr>
            <w:r>
              <w:rPr>
                <w:b/>
                <w:bCs/>
                <w:color w:val="000000" w:themeColor="text1"/>
              </w:rPr>
              <w:t>Respondent’s Motion to Terminate Removal Proceedings, and/or Respondent’s Eligibility for Relief from Removal</w:t>
            </w:r>
          </w:p>
          <w:p w:rsidR="00E54C4A" w:rsidP="00C419C6" w:rsidRDefault="00E54C4A" w14:paraId="0ECA249B" w14:textId="77777777">
            <w:pPr>
              <w:rPr>
                <w:b/>
                <w:bCs/>
                <w:color w:val="000000" w:themeColor="text1"/>
              </w:rPr>
            </w:pPr>
          </w:p>
        </w:tc>
      </w:tr>
    </w:tbl>
    <w:p w:rsidR="00E54C4A" w:rsidP="00E54C4A" w:rsidRDefault="00E54C4A" w14:paraId="04F4C810" w14:textId="77777777">
      <w:pPr>
        <w:rPr>
          <w:b/>
          <w:bCs/>
          <w:color w:val="000000" w:themeColor="text1"/>
          <w:u w:val="single"/>
        </w:rPr>
      </w:pPr>
    </w:p>
    <w:p w:rsidR="00E54C4A" w:rsidP="00E54C4A" w:rsidRDefault="00E54C4A" w14:paraId="3DABB6F3" w14:textId="77777777">
      <w:pPr>
        <w:jc w:val="center"/>
        <w:rPr>
          <w:b/>
          <w:bCs/>
          <w:color w:val="000000" w:themeColor="text1"/>
          <w:u w:val="single"/>
        </w:rPr>
      </w:pPr>
      <w:r>
        <w:rPr>
          <w:b/>
          <w:bCs/>
          <w:color w:val="000000" w:themeColor="text1"/>
          <w:u w:val="single"/>
        </w:rPr>
        <w:t xml:space="preserve">MEMORANDUM OF LAW </w:t>
      </w:r>
    </w:p>
    <w:p w:rsidR="00E54C4A" w:rsidP="00E54C4A" w:rsidRDefault="00E54C4A" w14:paraId="7F965766" w14:textId="77777777">
      <w:pPr>
        <w:rPr>
          <w:b/>
          <w:bCs/>
          <w:color w:val="000000" w:themeColor="text1"/>
          <w:u w:val="single"/>
        </w:rPr>
      </w:pPr>
    </w:p>
    <w:p w:rsidR="00E54C4A" w:rsidP="00E54C4A" w:rsidRDefault="00E54C4A" w14:paraId="45A3DD10" w14:textId="77777777">
      <w:pPr>
        <w:rPr>
          <w:color w:val="000000" w:themeColor="text1"/>
        </w:rPr>
      </w:pPr>
      <w:r>
        <w:rPr>
          <w:color w:val="000000" w:themeColor="text1"/>
        </w:rPr>
        <w:tab/>
      </w:r>
      <w:r>
        <w:rPr>
          <w:color w:val="000000" w:themeColor="text1"/>
        </w:rPr>
        <w:t>Respondent’s prior conviction is no longer a “conviction” as defined under section 101(a)(48)(A) of the Immigration and Nationality Act (“INA”). As such, this court or Board must terminate Respondent’s removal proceedings or schedule a relief hearing.</w:t>
      </w:r>
    </w:p>
    <w:p w:rsidR="00E54C4A" w:rsidP="00E54C4A" w:rsidRDefault="00E54C4A" w14:paraId="3A649624" w14:textId="77777777">
      <w:pPr>
        <w:rPr>
          <w:color w:val="000000" w:themeColor="text1"/>
        </w:rPr>
      </w:pPr>
    </w:p>
    <w:p w:rsidRPr="002B67ED" w:rsidR="00E54C4A" w:rsidP="00E54C4A" w:rsidRDefault="00E54C4A" w14:paraId="3FE0A910" w14:textId="77777777">
      <w:pPr>
        <w:jc w:val="center"/>
        <w:rPr>
          <w:b/>
          <w:bCs/>
          <w:color w:val="000000" w:themeColor="text1"/>
          <w:u w:val="single"/>
        </w:rPr>
      </w:pPr>
      <w:r w:rsidRPr="002B67ED">
        <w:rPr>
          <w:b/>
          <w:bCs/>
          <w:color w:val="000000" w:themeColor="text1"/>
          <w:u w:val="single"/>
        </w:rPr>
        <w:t>ARGUMENT</w:t>
      </w:r>
    </w:p>
    <w:p w:rsidRPr="00201C83" w:rsidR="00B728F8" w:rsidP="00302BF8" w:rsidRDefault="00B728F8" w14:paraId="4EA538EE" w14:textId="77777777">
      <w:pPr>
        <w:pStyle w:val="ListParagraph"/>
        <w:spacing w:after="0"/>
        <w:rPr>
          <w:rFonts w:cs="Times New Roman"/>
          <w:b w:val="0"/>
          <w:bCs/>
          <w:color w:val="000000" w:themeColor="text1"/>
          <w:szCs w:val="24"/>
        </w:rPr>
      </w:pPr>
    </w:p>
    <w:p w:rsidRPr="00A63276" w:rsidR="006D6CF4" w:rsidP="00E554C3" w:rsidRDefault="005C0046" w14:paraId="609E0248" w14:textId="4A1C18BF">
      <w:pPr>
        <w:pStyle w:val="Heading2"/>
      </w:pPr>
      <w:r>
        <w:t xml:space="preserve"> </w:t>
      </w:r>
      <w:bookmarkStart w:name="_Toc103585902" w:id="0"/>
      <w:r w:rsidR="00D273B9">
        <w:t xml:space="preserve">       </w:t>
      </w:r>
      <w:r w:rsidRPr="00A63276" w:rsidR="00BF1357">
        <w:t xml:space="preserve">Relevant Statutory Background </w:t>
      </w:r>
      <w:r w:rsidRPr="00A63276" w:rsidR="000204A5">
        <w:t>a</w:t>
      </w:r>
      <w:r w:rsidRPr="00A63276" w:rsidR="00BF1357">
        <w:t>nd B</w:t>
      </w:r>
      <w:r w:rsidRPr="00A63276" w:rsidR="00FF3111">
        <w:t>IA</w:t>
      </w:r>
      <w:r w:rsidRPr="00A63276" w:rsidR="00BF1357">
        <w:t xml:space="preserve"> Precedents </w:t>
      </w:r>
      <w:r w:rsidRPr="00A63276" w:rsidR="000204A5">
        <w:t>o</w:t>
      </w:r>
      <w:r w:rsidRPr="00A63276" w:rsidR="00BF1357">
        <w:t xml:space="preserve">n </w:t>
      </w:r>
      <w:r w:rsidRPr="00A63276" w:rsidR="000204A5">
        <w:t>t</w:t>
      </w:r>
      <w:r w:rsidRPr="00A63276" w:rsidR="00BF1357">
        <w:t xml:space="preserve">he Definition </w:t>
      </w:r>
      <w:r w:rsidRPr="00A63276" w:rsidR="000204A5">
        <w:t>o</w:t>
      </w:r>
      <w:r w:rsidRPr="00A63276" w:rsidR="00BF1357">
        <w:t>f “Conviction”</w:t>
      </w:r>
      <w:bookmarkEnd w:id="0"/>
    </w:p>
    <w:p w:rsidRPr="00A63276" w:rsidR="00BE1335" w:rsidP="004838D7" w:rsidRDefault="00BE1335" w14:paraId="5659AA83" w14:textId="77777777">
      <w:pPr>
        <w:ind w:firstLine="720"/>
        <w:rPr>
          <w:color w:val="000000" w:themeColor="text1"/>
        </w:rPr>
      </w:pPr>
    </w:p>
    <w:p w:rsidRPr="00201C83" w:rsidR="00AB7259" w:rsidP="00E554C3" w:rsidRDefault="00AB7259" w14:paraId="32364EE3" w14:textId="64D81EAD">
      <w:pPr>
        <w:pStyle w:val="Heading3"/>
        <w:rPr>
          <w:rFonts w:eastAsia="Times New Roman"/>
        </w:rPr>
      </w:pPr>
      <w:r w:rsidRPr="00A63276">
        <w:rPr>
          <w:rFonts w:eastAsia="Times New Roman"/>
        </w:rPr>
        <w:t>Pre-IIRIRA</w:t>
      </w:r>
      <w:r w:rsidRPr="00A63276" w:rsidR="00420CF5">
        <w:rPr>
          <w:rFonts w:eastAsia="Times New Roman"/>
        </w:rPr>
        <w:t xml:space="preserve"> B</w:t>
      </w:r>
      <w:r w:rsidRPr="00201C83" w:rsidR="00420CF5">
        <w:rPr>
          <w:rFonts w:eastAsia="Times New Roman"/>
        </w:rPr>
        <w:t>IA and AG Decisions</w:t>
      </w:r>
      <w:r w:rsidRPr="00201C83" w:rsidR="00004682">
        <w:rPr>
          <w:rFonts w:eastAsia="Times New Roman"/>
        </w:rPr>
        <w:t xml:space="preserve"> Deferring to State Determinations Regarding Disposition of Criminal Charges</w:t>
      </w:r>
    </w:p>
    <w:p w:rsidRPr="00201C83" w:rsidR="00B728F8" w:rsidP="00302BF8" w:rsidRDefault="00B728F8" w14:paraId="6B421586" w14:textId="77777777">
      <w:pPr>
        <w:pStyle w:val="ListParagraph"/>
        <w:spacing w:after="0"/>
        <w:ind w:left="1440"/>
        <w:rPr>
          <w:rFonts w:eastAsia="Times New Roman" w:cs="Times New Roman"/>
          <w:b w:val="0"/>
          <w:bCs/>
          <w:color w:val="000000" w:themeColor="text1"/>
          <w:szCs w:val="24"/>
        </w:rPr>
      </w:pPr>
    </w:p>
    <w:p w:rsidR="007B2E7A" w:rsidP="00B728F8" w:rsidRDefault="72F0E331" w14:paraId="2CF1DFB2" w14:textId="2CC6BDE5">
      <w:pPr>
        <w:ind w:firstLine="720"/>
        <w:rPr>
          <w:i/>
          <w:iCs/>
          <w:color w:val="000000" w:themeColor="text1"/>
        </w:rPr>
      </w:pPr>
      <w:r w:rsidRPr="003358C0">
        <w:rPr>
          <w:color w:val="000000" w:themeColor="text1"/>
        </w:rPr>
        <w:t xml:space="preserve">With no statutory definition of </w:t>
      </w:r>
      <w:r w:rsidRPr="003358C0" w:rsidR="00193F25">
        <w:rPr>
          <w:color w:val="000000" w:themeColor="text1"/>
        </w:rPr>
        <w:t>“</w:t>
      </w:r>
      <w:r w:rsidRPr="003358C0">
        <w:rPr>
          <w:color w:val="000000" w:themeColor="text1"/>
        </w:rPr>
        <w:t>conviction</w:t>
      </w:r>
      <w:r w:rsidRPr="003358C0" w:rsidR="00193F25">
        <w:rPr>
          <w:color w:val="000000" w:themeColor="text1"/>
        </w:rPr>
        <w:t>”</w:t>
      </w:r>
      <w:r w:rsidRPr="003358C0">
        <w:rPr>
          <w:color w:val="000000" w:themeColor="text1"/>
        </w:rPr>
        <w:t xml:space="preserve"> for immigration purposes for most of the twentieth century, the BIA almost always deferred to </w:t>
      </w:r>
      <w:r w:rsidRPr="003358C0" w:rsidR="00A41D06">
        <w:rPr>
          <w:color w:val="000000" w:themeColor="text1"/>
        </w:rPr>
        <w:t xml:space="preserve">a </w:t>
      </w:r>
      <w:r w:rsidRPr="003358C0">
        <w:rPr>
          <w:color w:val="000000" w:themeColor="text1"/>
        </w:rPr>
        <w:t>state</w:t>
      </w:r>
      <w:r w:rsidRPr="003358C0" w:rsidR="00A41D06">
        <w:rPr>
          <w:color w:val="000000" w:themeColor="text1"/>
        </w:rPr>
        <w:t>’</w:t>
      </w:r>
      <w:r w:rsidRPr="003358C0">
        <w:rPr>
          <w:color w:val="000000" w:themeColor="text1"/>
        </w:rPr>
        <w:t>s</w:t>
      </w:r>
      <w:r w:rsidRPr="003358C0" w:rsidR="00A41D06">
        <w:rPr>
          <w:color w:val="000000" w:themeColor="text1"/>
        </w:rPr>
        <w:t xml:space="preserve"> determination for whether a disposition constitutes a conviction</w:t>
      </w:r>
      <w:r w:rsidRPr="003358C0">
        <w:rPr>
          <w:color w:val="000000" w:themeColor="text1"/>
        </w:rPr>
        <w:t xml:space="preserve">. </w:t>
      </w:r>
      <w:r w:rsidRPr="003358C0">
        <w:rPr>
          <w:i/>
          <w:iCs/>
          <w:color w:val="000000" w:themeColor="text1"/>
        </w:rPr>
        <w:t>See, e.g.</w:t>
      </w:r>
      <w:r w:rsidRPr="003358C0">
        <w:rPr>
          <w:color w:val="000000" w:themeColor="text1"/>
        </w:rPr>
        <w:t>,</w:t>
      </w:r>
      <w:r w:rsidRPr="003358C0">
        <w:rPr>
          <w:i/>
          <w:iCs/>
          <w:color w:val="000000" w:themeColor="text1"/>
        </w:rPr>
        <w:t xml:space="preserve"> Matter of L-R-</w:t>
      </w:r>
      <w:r w:rsidRPr="003358C0">
        <w:rPr>
          <w:color w:val="000000" w:themeColor="text1"/>
        </w:rPr>
        <w:t xml:space="preserve">, 8 I&amp;N Dec. 269, 270 (BIA 1959); </w:t>
      </w:r>
      <w:r w:rsidRPr="003358C0">
        <w:rPr>
          <w:i/>
          <w:iCs/>
          <w:color w:val="000000" w:themeColor="text1"/>
        </w:rPr>
        <w:t>Matter of G-</w:t>
      </w:r>
      <w:r w:rsidRPr="003358C0">
        <w:rPr>
          <w:color w:val="000000" w:themeColor="text1"/>
        </w:rPr>
        <w:t xml:space="preserve">, 9 I&amp;N Dec. 159, 164 (BIA 1960; AG 1961); </w:t>
      </w:r>
      <w:r w:rsidRPr="003358C0">
        <w:rPr>
          <w:i/>
          <w:iCs/>
          <w:color w:val="000000" w:themeColor="text1"/>
        </w:rPr>
        <w:t>Matter of Ibarra-Obando</w:t>
      </w:r>
      <w:r w:rsidRPr="003358C0">
        <w:rPr>
          <w:color w:val="000000" w:themeColor="text1"/>
        </w:rPr>
        <w:t>, 12 I&amp;N Dec. 576 (BIA 1966; AG 1967)</w:t>
      </w:r>
      <w:r w:rsidRPr="003358C0" w:rsidR="0005592F">
        <w:rPr>
          <w:color w:val="000000" w:themeColor="text1"/>
        </w:rPr>
        <w:t xml:space="preserve">; </w:t>
      </w:r>
      <w:r w:rsidRPr="003358C0" w:rsidR="0005592F">
        <w:rPr>
          <w:i/>
          <w:iCs/>
          <w:color w:val="000000" w:themeColor="text1"/>
        </w:rPr>
        <w:t xml:space="preserve">see generally </w:t>
      </w:r>
      <w:proofErr w:type="spellStart"/>
      <w:r w:rsidRPr="00201C83" w:rsidR="0005592F">
        <w:rPr>
          <w:i/>
          <w:iCs/>
          <w:color w:val="000000" w:themeColor="text1"/>
        </w:rPr>
        <w:t>Pinho</w:t>
      </w:r>
      <w:proofErr w:type="spellEnd"/>
      <w:r w:rsidRPr="00201C83" w:rsidR="0005592F">
        <w:rPr>
          <w:i/>
          <w:iCs/>
          <w:color w:val="000000" w:themeColor="text1"/>
        </w:rPr>
        <w:t xml:space="preserve"> v. Gonzales</w:t>
      </w:r>
      <w:r w:rsidRPr="00201C83" w:rsidR="0005592F">
        <w:rPr>
          <w:color w:val="000000" w:themeColor="text1"/>
        </w:rPr>
        <w:t xml:space="preserve">, 432 F.3d 193, 208 (3d Cir. 2005) (“The BIA held as early as 1943 that an expunged conviction was not a ‘conviction’ for immigration purposes, and adhered to that position with only occasional exceptions until </w:t>
      </w:r>
      <w:r w:rsidRPr="00201C83" w:rsidR="00C02404">
        <w:rPr>
          <w:i/>
          <w:color w:val="000000" w:themeColor="text1"/>
        </w:rPr>
        <w:t>Roldan</w:t>
      </w:r>
      <w:r w:rsidRPr="00201C83" w:rsidR="0005592F">
        <w:rPr>
          <w:color w:val="000000" w:themeColor="text1"/>
        </w:rPr>
        <w:t>.”)</w:t>
      </w:r>
      <w:r w:rsidRPr="003358C0" w:rsidR="00CA45A5">
        <w:rPr>
          <w:color w:val="000000" w:themeColor="text1"/>
        </w:rPr>
        <w:t xml:space="preserve">; </w:t>
      </w:r>
      <w:r w:rsidRPr="003358C0" w:rsidR="00CA45A5">
        <w:rPr>
          <w:i/>
          <w:color w:val="000000" w:themeColor="text1"/>
        </w:rPr>
        <w:t>but see Matter of A-F-</w:t>
      </w:r>
      <w:r w:rsidRPr="003358C0" w:rsidR="00CA45A5">
        <w:rPr>
          <w:color w:val="000000" w:themeColor="text1"/>
        </w:rPr>
        <w:t>, 8 I&amp;N Dec. 429 (BIA 1959).</w:t>
      </w:r>
      <w:r w:rsidRPr="003358C0">
        <w:rPr>
          <w:color w:val="000000" w:themeColor="text1"/>
        </w:rPr>
        <w:t xml:space="preserve"> </w:t>
      </w:r>
      <w:r w:rsidRPr="003358C0" w:rsidR="0069438F">
        <w:rPr>
          <w:color w:val="000000" w:themeColor="text1"/>
        </w:rPr>
        <w:t xml:space="preserve">Importantly, this </w:t>
      </w:r>
      <w:r w:rsidRPr="003358C0" w:rsidR="00A41D06">
        <w:rPr>
          <w:color w:val="000000" w:themeColor="text1"/>
        </w:rPr>
        <w:t>meant that</w:t>
      </w:r>
      <w:r w:rsidRPr="003358C0" w:rsidR="00D93DAD">
        <w:rPr>
          <w:color w:val="000000" w:themeColor="text1"/>
        </w:rPr>
        <w:t xml:space="preserve"> vacated or expunged convictions could not sustain charges of deportability.</w:t>
      </w:r>
      <w:r w:rsidRPr="003358C0" w:rsidR="0069438F">
        <w:rPr>
          <w:color w:val="000000" w:themeColor="text1"/>
        </w:rPr>
        <w:t xml:space="preserve"> </w:t>
      </w:r>
      <w:r w:rsidRPr="003358C0" w:rsidR="00B058AB">
        <w:rPr>
          <w:i/>
          <w:iCs/>
          <w:color w:val="000000" w:themeColor="text1"/>
        </w:rPr>
        <w:t>See</w:t>
      </w:r>
      <w:r w:rsidRPr="003358C0" w:rsidR="00912F49">
        <w:rPr>
          <w:i/>
          <w:iCs/>
          <w:color w:val="000000" w:themeColor="text1"/>
        </w:rPr>
        <w:t>, e.g.</w:t>
      </w:r>
      <w:r w:rsidRPr="003358C0" w:rsidR="00D93DAD">
        <w:rPr>
          <w:color w:val="000000" w:themeColor="text1"/>
        </w:rPr>
        <w:t>,</w:t>
      </w:r>
      <w:r w:rsidRPr="003358C0" w:rsidR="00912F49">
        <w:rPr>
          <w:i/>
          <w:iCs/>
          <w:color w:val="000000" w:themeColor="text1"/>
        </w:rPr>
        <w:t xml:space="preserve"> </w:t>
      </w:r>
      <w:r w:rsidRPr="003358C0" w:rsidR="00E27DF6">
        <w:rPr>
          <w:i/>
          <w:iCs/>
          <w:color w:val="000000" w:themeColor="text1"/>
        </w:rPr>
        <w:t xml:space="preserve">Matter of </w:t>
      </w:r>
      <w:proofErr w:type="spellStart"/>
      <w:r w:rsidRPr="003358C0" w:rsidR="00E27DF6">
        <w:rPr>
          <w:i/>
          <w:iCs/>
          <w:color w:val="000000" w:themeColor="text1"/>
        </w:rPr>
        <w:t>Sirhan</w:t>
      </w:r>
      <w:proofErr w:type="spellEnd"/>
      <w:r w:rsidRPr="003358C0" w:rsidR="00E27DF6">
        <w:rPr>
          <w:color w:val="000000" w:themeColor="text1"/>
        </w:rPr>
        <w:t>, 13 I&amp;N Dec. 592</w:t>
      </w:r>
      <w:r w:rsidRPr="003358C0" w:rsidR="00BE1B4A">
        <w:rPr>
          <w:color w:val="000000" w:themeColor="text1"/>
        </w:rPr>
        <w:t>, 600</w:t>
      </w:r>
      <w:r w:rsidRPr="003358C0" w:rsidR="00E27DF6">
        <w:rPr>
          <w:color w:val="000000" w:themeColor="text1"/>
        </w:rPr>
        <w:t xml:space="preserve"> (BIA 1970) (vacated conviction</w:t>
      </w:r>
      <w:r w:rsidRPr="003358C0" w:rsidR="00902825">
        <w:rPr>
          <w:color w:val="000000" w:themeColor="text1"/>
        </w:rPr>
        <w:t>s</w:t>
      </w:r>
      <w:r w:rsidRPr="003358C0" w:rsidR="00E27DF6">
        <w:rPr>
          <w:color w:val="000000" w:themeColor="text1"/>
        </w:rPr>
        <w:t xml:space="preserve">); </w:t>
      </w:r>
      <w:r w:rsidRPr="003358C0" w:rsidR="00E27DF6">
        <w:rPr>
          <w:i/>
          <w:iCs/>
          <w:color w:val="000000" w:themeColor="text1"/>
        </w:rPr>
        <w:t>Matter of G-</w:t>
      </w:r>
      <w:r w:rsidRPr="003358C0" w:rsidR="00E27DF6">
        <w:rPr>
          <w:color w:val="000000" w:themeColor="text1"/>
        </w:rPr>
        <w:t>, 9 I&amp;N Dec. 159</w:t>
      </w:r>
      <w:r w:rsidRPr="003358C0" w:rsidR="00085A23">
        <w:rPr>
          <w:color w:val="000000" w:themeColor="text1"/>
        </w:rPr>
        <w:t>, 164</w:t>
      </w:r>
      <w:r w:rsidRPr="003358C0" w:rsidR="00E27DF6">
        <w:rPr>
          <w:color w:val="000000" w:themeColor="text1"/>
        </w:rPr>
        <w:t xml:space="preserve"> (BIA 1960</w:t>
      </w:r>
      <w:r w:rsidRPr="003358C0" w:rsidR="00D65123">
        <w:rPr>
          <w:color w:val="000000" w:themeColor="text1"/>
        </w:rPr>
        <w:t>,</w:t>
      </w:r>
      <w:r w:rsidRPr="003358C0" w:rsidR="00E27DF6">
        <w:rPr>
          <w:color w:val="000000" w:themeColor="text1"/>
        </w:rPr>
        <w:t xml:space="preserve"> AG 1961) </w:t>
      </w:r>
      <w:r w:rsidRPr="003358C0" w:rsidR="00912F49">
        <w:rPr>
          <w:color w:val="000000" w:themeColor="text1"/>
        </w:rPr>
        <w:t>(</w:t>
      </w:r>
      <w:r w:rsidRPr="003358C0" w:rsidR="00902825">
        <w:rPr>
          <w:color w:val="000000" w:themeColor="text1"/>
        </w:rPr>
        <w:t>expunged convictions</w:t>
      </w:r>
      <w:r w:rsidRPr="003358C0" w:rsidR="00912F49">
        <w:rPr>
          <w:color w:val="000000" w:themeColor="text1"/>
        </w:rPr>
        <w:t>).</w:t>
      </w:r>
      <w:r w:rsidRPr="003358C0" w:rsidR="00B058AB">
        <w:rPr>
          <w:i/>
          <w:iCs/>
          <w:color w:val="000000" w:themeColor="text1"/>
        </w:rPr>
        <w:t xml:space="preserve"> </w:t>
      </w:r>
    </w:p>
    <w:p w:rsidRPr="003358C0" w:rsidR="00BD7C8B" w:rsidP="00B728F8" w:rsidRDefault="00BD7C8B" w14:paraId="5F6FC8B7" w14:textId="77777777">
      <w:pPr>
        <w:ind w:firstLine="720"/>
        <w:rPr>
          <w:color w:val="000000" w:themeColor="text1"/>
        </w:rPr>
      </w:pPr>
    </w:p>
    <w:p w:rsidRPr="003358C0" w:rsidR="00071692" w:rsidP="004838D7" w:rsidRDefault="72F0E331" w14:paraId="1FF8F51A" w14:textId="3D6C7A99">
      <w:pPr>
        <w:ind w:firstLine="720"/>
        <w:rPr>
          <w:color w:val="000000" w:themeColor="text1"/>
        </w:rPr>
      </w:pPr>
      <w:r w:rsidRPr="003358C0">
        <w:rPr>
          <w:color w:val="000000" w:themeColor="text1"/>
        </w:rPr>
        <w:t>In 1988</w:t>
      </w:r>
      <w:r w:rsidRPr="003358C0" w:rsidR="00193F25">
        <w:rPr>
          <w:color w:val="000000" w:themeColor="text1"/>
        </w:rPr>
        <w:t>,</w:t>
      </w:r>
      <w:r w:rsidRPr="003358C0">
        <w:rPr>
          <w:color w:val="000000" w:themeColor="text1"/>
        </w:rPr>
        <w:t xml:space="preserve"> the BIA published </w:t>
      </w:r>
      <w:r w:rsidRPr="003358C0">
        <w:rPr>
          <w:i/>
          <w:iCs/>
          <w:color w:val="000000" w:themeColor="text1"/>
        </w:rPr>
        <w:t xml:space="preserve">Matter of </w:t>
      </w:r>
      <w:proofErr w:type="spellStart"/>
      <w:r w:rsidRPr="003358C0">
        <w:rPr>
          <w:i/>
          <w:iCs/>
          <w:color w:val="000000" w:themeColor="text1"/>
        </w:rPr>
        <w:t>Ozkok</w:t>
      </w:r>
      <w:proofErr w:type="spellEnd"/>
      <w:r w:rsidRPr="003358C0">
        <w:rPr>
          <w:color w:val="000000" w:themeColor="text1"/>
        </w:rPr>
        <w:t>, 19 I&amp;N Dec. 546 (BIA 1988</w:t>
      </w:r>
      <w:r w:rsidRPr="003358C0" w:rsidR="00191DA0">
        <w:rPr>
          <w:color w:val="000000" w:themeColor="text1"/>
        </w:rPr>
        <w:t>),</w:t>
      </w:r>
      <w:r w:rsidRPr="003358C0" w:rsidR="00420CF5">
        <w:rPr>
          <w:color w:val="000000" w:themeColor="text1"/>
        </w:rPr>
        <w:t xml:space="preserve"> which </w:t>
      </w:r>
      <w:r w:rsidRPr="003358C0" w:rsidR="0005592F">
        <w:rPr>
          <w:color w:val="000000" w:themeColor="text1"/>
        </w:rPr>
        <w:t>wa</w:t>
      </w:r>
      <w:r w:rsidRPr="003358C0" w:rsidR="00420CF5">
        <w:rPr>
          <w:color w:val="000000" w:themeColor="text1"/>
        </w:rPr>
        <w:t xml:space="preserve">s the last significant </w:t>
      </w:r>
      <w:r w:rsidRPr="003358C0" w:rsidR="0005592F">
        <w:rPr>
          <w:color w:val="000000" w:themeColor="text1"/>
        </w:rPr>
        <w:t xml:space="preserve">agency </w:t>
      </w:r>
      <w:r w:rsidRPr="003358C0" w:rsidR="00420CF5">
        <w:rPr>
          <w:color w:val="000000" w:themeColor="text1"/>
        </w:rPr>
        <w:t xml:space="preserve">precedent </w:t>
      </w:r>
      <w:r w:rsidRPr="003358C0" w:rsidR="0005592F">
        <w:rPr>
          <w:color w:val="000000" w:themeColor="text1"/>
        </w:rPr>
        <w:t xml:space="preserve">addressing the </w:t>
      </w:r>
      <w:r w:rsidRPr="003358C0" w:rsidR="00CC4704">
        <w:rPr>
          <w:color w:val="000000" w:themeColor="text1"/>
        </w:rPr>
        <w:t>definition of</w:t>
      </w:r>
      <w:r w:rsidRPr="003358C0" w:rsidR="00420CF5">
        <w:rPr>
          <w:color w:val="000000" w:themeColor="text1"/>
        </w:rPr>
        <w:t xml:space="preserve"> conviction prior to </w:t>
      </w:r>
      <w:r w:rsidRPr="003358C0" w:rsidR="00CC4704">
        <w:rPr>
          <w:color w:val="000000" w:themeColor="text1"/>
        </w:rPr>
        <w:t xml:space="preserve">the </w:t>
      </w:r>
      <w:r w:rsidRPr="003358C0" w:rsidR="000F1484">
        <w:rPr>
          <w:color w:val="000000" w:themeColor="text1"/>
        </w:rPr>
        <w:t xml:space="preserve">adoption of a </w:t>
      </w:r>
      <w:r w:rsidRPr="003358C0" w:rsidR="00CC4704">
        <w:rPr>
          <w:color w:val="000000" w:themeColor="text1"/>
        </w:rPr>
        <w:t xml:space="preserve">statutory definition in </w:t>
      </w:r>
      <w:r w:rsidRPr="003358C0" w:rsidR="00FF2D56">
        <w:rPr>
          <w:color w:val="000000" w:themeColor="text1"/>
        </w:rPr>
        <w:t>the Illegal Immigration Reform and Immigration Responsibility Act (</w:t>
      </w:r>
      <w:r w:rsidRPr="003358C0" w:rsidR="00420CF5">
        <w:rPr>
          <w:color w:val="000000" w:themeColor="text1"/>
        </w:rPr>
        <w:t>IIRIRA</w:t>
      </w:r>
      <w:r w:rsidRPr="003358C0" w:rsidR="00FF2D56">
        <w:rPr>
          <w:color w:val="000000" w:themeColor="text1"/>
        </w:rPr>
        <w:t>)</w:t>
      </w:r>
      <w:r w:rsidRPr="003358C0" w:rsidR="00CC4704">
        <w:rPr>
          <w:color w:val="000000" w:themeColor="text1"/>
        </w:rPr>
        <w:t xml:space="preserve"> in 1996</w:t>
      </w:r>
      <w:r w:rsidRPr="003358C0" w:rsidR="00420CF5">
        <w:rPr>
          <w:color w:val="000000" w:themeColor="text1"/>
        </w:rPr>
        <w:t xml:space="preserve">. In </w:t>
      </w:r>
      <w:proofErr w:type="spellStart"/>
      <w:r w:rsidRPr="003358C0" w:rsidR="00420CF5">
        <w:rPr>
          <w:i/>
          <w:iCs/>
          <w:color w:val="000000" w:themeColor="text1"/>
        </w:rPr>
        <w:t>Ozkok</w:t>
      </w:r>
      <w:proofErr w:type="spellEnd"/>
      <w:r w:rsidRPr="003358C0" w:rsidR="00420CF5">
        <w:rPr>
          <w:color w:val="000000" w:themeColor="text1"/>
        </w:rPr>
        <w:t>, the Board reaffirmed that a disposition is a conviction</w:t>
      </w:r>
      <w:r w:rsidRPr="003358C0" w:rsidR="00B931CD">
        <w:rPr>
          <w:color w:val="000000" w:themeColor="text1"/>
        </w:rPr>
        <w:t xml:space="preserve"> </w:t>
      </w:r>
      <w:r w:rsidRPr="003358C0" w:rsidR="00CC4704">
        <w:rPr>
          <w:color w:val="000000" w:themeColor="text1"/>
        </w:rPr>
        <w:t xml:space="preserve">generally only </w:t>
      </w:r>
      <w:r w:rsidRPr="003358C0" w:rsidR="00B931CD">
        <w:rPr>
          <w:color w:val="000000" w:themeColor="text1"/>
        </w:rPr>
        <w:t xml:space="preserve">where </w:t>
      </w:r>
      <w:r w:rsidRPr="003358C0" w:rsidR="00071692">
        <w:rPr>
          <w:color w:val="000000" w:themeColor="text1"/>
        </w:rPr>
        <w:t>“the court has adjudicated [the noncitizen] guilty or has entered a formal judgment of guilt</w:t>
      </w:r>
      <w:r w:rsidRPr="003358C0" w:rsidR="00B931CD">
        <w:rPr>
          <w:color w:val="000000" w:themeColor="text1"/>
        </w:rPr>
        <w:t>.”</w:t>
      </w:r>
      <w:r w:rsidRPr="003358C0" w:rsidR="0045574A">
        <w:rPr>
          <w:color w:val="000000" w:themeColor="text1"/>
        </w:rPr>
        <w:t xml:space="preserve"> </w:t>
      </w:r>
      <w:r w:rsidRPr="003358C0" w:rsidR="0045574A">
        <w:rPr>
          <w:i/>
          <w:color w:val="000000" w:themeColor="text1"/>
        </w:rPr>
        <w:t>Id.</w:t>
      </w:r>
      <w:r w:rsidRPr="003358C0" w:rsidR="0045574A">
        <w:rPr>
          <w:color w:val="000000" w:themeColor="text1"/>
        </w:rPr>
        <w:t xml:space="preserve"> at 551.</w:t>
      </w:r>
      <w:r w:rsidRPr="003358C0" w:rsidR="00B931CD">
        <w:rPr>
          <w:color w:val="000000" w:themeColor="text1"/>
        </w:rPr>
        <w:t xml:space="preserve"> </w:t>
      </w:r>
      <w:r w:rsidRPr="003358C0" w:rsidR="00CC4704">
        <w:rPr>
          <w:color w:val="000000" w:themeColor="text1"/>
        </w:rPr>
        <w:t>The only exception</w:t>
      </w:r>
      <w:r w:rsidRPr="003358C0" w:rsidR="00921F0D">
        <w:rPr>
          <w:color w:val="000000" w:themeColor="text1"/>
        </w:rPr>
        <w:t xml:space="preserve">, first identified in </w:t>
      </w:r>
      <w:proofErr w:type="spellStart"/>
      <w:r w:rsidRPr="003358C0" w:rsidR="00921F0D">
        <w:rPr>
          <w:i/>
          <w:iCs/>
          <w:color w:val="000000" w:themeColor="text1"/>
        </w:rPr>
        <w:t>Ozkok</w:t>
      </w:r>
      <w:proofErr w:type="spellEnd"/>
      <w:r w:rsidRPr="003358C0" w:rsidR="00921F0D">
        <w:rPr>
          <w:color w:val="000000" w:themeColor="text1"/>
        </w:rPr>
        <w:t>,</w:t>
      </w:r>
      <w:r w:rsidRPr="003358C0" w:rsidR="00CC4704">
        <w:rPr>
          <w:color w:val="000000" w:themeColor="text1"/>
        </w:rPr>
        <w:t xml:space="preserve"> was</w:t>
      </w:r>
      <w:r w:rsidRPr="003358C0" w:rsidR="00B931CD">
        <w:rPr>
          <w:color w:val="000000" w:themeColor="text1"/>
        </w:rPr>
        <w:t xml:space="preserve"> for </w:t>
      </w:r>
      <w:r w:rsidRPr="003358C0" w:rsidR="000F1484">
        <w:rPr>
          <w:color w:val="000000" w:themeColor="text1"/>
        </w:rPr>
        <w:t xml:space="preserve">certain withheld </w:t>
      </w:r>
      <w:r w:rsidRPr="003358C0" w:rsidR="00B931CD">
        <w:rPr>
          <w:color w:val="000000" w:themeColor="text1"/>
        </w:rPr>
        <w:lastRenderedPageBreak/>
        <w:t>adjudication</w:t>
      </w:r>
      <w:r w:rsidRPr="003358C0" w:rsidR="000F1484">
        <w:rPr>
          <w:color w:val="000000" w:themeColor="text1"/>
        </w:rPr>
        <w:t>s.</w:t>
      </w:r>
      <w:r w:rsidRPr="003358C0" w:rsidR="00FA21DB">
        <w:rPr>
          <w:color w:val="000000" w:themeColor="text1"/>
        </w:rPr>
        <w:t xml:space="preserve"> </w:t>
      </w:r>
      <w:r w:rsidRPr="003358C0" w:rsidR="000F1484">
        <w:rPr>
          <w:color w:val="000000" w:themeColor="text1"/>
        </w:rPr>
        <w:t>T</w:t>
      </w:r>
      <w:r w:rsidRPr="003358C0" w:rsidR="00FA21DB">
        <w:rPr>
          <w:color w:val="000000" w:themeColor="text1"/>
        </w:rPr>
        <w:t>he BIA held</w:t>
      </w:r>
      <w:r w:rsidRPr="003358C0" w:rsidR="00517098">
        <w:rPr>
          <w:color w:val="000000" w:themeColor="text1"/>
        </w:rPr>
        <w:t xml:space="preserve"> that</w:t>
      </w:r>
      <w:r w:rsidRPr="003358C0" w:rsidR="00FA21DB">
        <w:rPr>
          <w:color w:val="000000" w:themeColor="text1"/>
        </w:rPr>
        <w:t>,</w:t>
      </w:r>
      <w:r w:rsidRPr="003358C0" w:rsidR="00517098">
        <w:rPr>
          <w:color w:val="000000" w:themeColor="text1"/>
        </w:rPr>
        <w:t xml:space="preserve"> </w:t>
      </w:r>
      <w:r w:rsidRPr="003358C0" w:rsidR="007B2E7A">
        <w:rPr>
          <w:color w:val="000000" w:themeColor="text1"/>
        </w:rPr>
        <w:t xml:space="preserve">in cases </w:t>
      </w:r>
      <w:r w:rsidRPr="003358C0" w:rsidR="00071692">
        <w:rPr>
          <w:color w:val="000000" w:themeColor="text1"/>
        </w:rPr>
        <w:t>where adjudication of guilt has been withheld,</w:t>
      </w:r>
      <w:r w:rsidRPr="003358C0" w:rsidR="00517098">
        <w:rPr>
          <w:color w:val="000000" w:themeColor="text1"/>
        </w:rPr>
        <w:t xml:space="preserve"> the disposition would amount to a conviction</w:t>
      </w:r>
      <w:r w:rsidRPr="003358C0" w:rsidR="00071692">
        <w:rPr>
          <w:color w:val="000000" w:themeColor="text1"/>
        </w:rPr>
        <w:t xml:space="preserve"> where</w:t>
      </w:r>
      <w:r w:rsidRPr="003358C0" w:rsidR="005B3AD4">
        <w:rPr>
          <w:color w:val="000000" w:themeColor="text1"/>
        </w:rPr>
        <w:t xml:space="preserve">: </w:t>
      </w:r>
    </w:p>
    <w:p w:rsidRPr="00201C83" w:rsidR="00071692" w:rsidP="004838D7" w:rsidRDefault="00071692" w14:paraId="0CB4F300" w14:textId="77777777">
      <w:pPr>
        <w:ind w:firstLine="720"/>
        <w:rPr>
          <w:color w:val="000000" w:themeColor="text1"/>
        </w:rPr>
      </w:pPr>
    </w:p>
    <w:p w:rsidRPr="00201C83" w:rsidR="006D6CF4" w:rsidP="004838D7" w:rsidRDefault="72F0E331" w14:paraId="3EA64B68" w14:textId="02F584EC">
      <w:pPr>
        <w:ind w:left="1440" w:right="1440"/>
        <w:jc w:val="both"/>
        <w:rPr>
          <w:color w:val="000000" w:themeColor="text1"/>
        </w:rPr>
      </w:pPr>
      <w:r w:rsidRPr="00201C83">
        <w:rPr>
          <w:color w:val="000000" w:themeColor="text1"/>
        </w:rPr>
        <w:t xml:space="preserve">(1) a judge or jury has found the [noncitizen] guilty or he has entered a plea of guilty or nolo contendere or has admitted sufficient facts to warrant a finding of </w:t>
      </w:r>
      <w:proofErr w:type="gramStart"/>
      <w:r w:rsidRPr="00201C83">
        <w:rPr>
          <w:color w:val="000000" w:themeColor="text1"/>
        </w:rPr>
        <w:t>guilty;</w:t>
      </w:r>
      <w:proofErr w:type="gramEnd"/>
    </w:p>
    <w:p w:rsidRPr="00201C83" w:rsidR="006D6CF4" w:rsidP="004838D7" w:rsidRDefault="72F0E331" w14:paraId="1E26E6C3" w14:textId="1A345CBB">
      <w:pPr>
        <w:ind w:left="1440" w:right="1440"/>
        <w:jc w:val="both"/>
        <w:rPr>
          <w:color w:val="000000" w:themeColor="text1"/>
        </w:rPr>
      </w:pPr>
      <w:r w:rsidRPr="00201C83">
        <w:rPr>
          <w:color w:val="000000" w:themeColor="text1"/>
        </w:rPr>
        <w:t>(2) the judge has ordered some form of punishment, penalty, or restraint on the person’s liberty to be imposed . . .</w:t>
      </w:r>
      <w:r w:rsidRPr="00201C83" w:rsidR="00012C17">
        <w:rPr>
          <w:color w:val="000000" w:themeColor="text1"/>
        </w:rPr>
        <w:t xml:space="preserve"> and</w:t>
      </w:r>
    </w:p>
    <w:p w:rsidRPr="00201C83" w:rsidR="006D6CF4" w:rsidP="004838D7" w:rsidRDefault="72F0E331" w14:paraId="6E59F5DA" w14:textId="2BE154FD">
      <w:pPr>
        <w:ind w:left="1440" w:right="1440"/>
        <w:jc w:val="both"/>
        <w:rPr>
          <w:color w:val="000000" w:themeColor="text1"/>
        </w:rPr>
      </w:pPr>
      <w:r w:rsidRPr="00201C83">
        <w:rPr>
          <w:color w:val="000000" w:themeColor="text1"/>
        </w:rPr>
        <w:t>(3) a judgment or adjudication of guilt may be entered if the person violates the terms of his probation or fails to comply with the requirements of the court’s order, without availability of further proceedings regarding the person’s guilt or innocence of the original charge.</w:t>
      </w:r>
    </w:p>
    <w:p w:rsidRPr="00201C83" w:rsidR="00071692" w:rsidP="004838D7" w:rsidRDefault="00071692" w14:paraId="7E86462C" w14:textId="77777777">
      <w:pPr>
        <w:ind w:left="1440" w:right="1440"/>
        <w:jc w:val="both"/>
        <w:rPr>
          <w:color w:val="000000" w:themeColor="text1"/>
        </w:rPr>
      </w:pPr>
    </w:p>
    <w:p w:rsidRPr="00201C83" w:rsidR="009B6E5A" w:rsidP="004838D7" w:rsidRDefault="00CA0AA1" w14:paraId="37F8BBAA" w14:textId="25E7BAD4">
      <w:pPr>
        <w:rPr>
          <w:color w:val="000000" w:themeColor="text1"/>
        </w:rPr>
      </w:pPr>
      <w:r w:rsidRPr="00201C83">
        <w:rPr>
          <w:i/>
          <w:iCs/>
          <w:color w:val="000000" w:themeColor="text1"/>
        </w:rPr>
        <w:t>Id.</w:t>
      </w:r>
      <w:r w:rsidRPr="00201C83" w:rsidR="72F0E331">
        <w:rPr>
          <w:color w:val="000000" w:themeColor="text1"/>
        </w:rPr>
        <w:t xml:space="preserve"> at 551–52.</w:t>
      </w:r>
    </w:p>
    <w:p w:rsidRPr="003358C0" w:rsidR="00E554C3" w:rsidP="004838D7" w:rsidRDefault="00E554C3" w14:paraId="428C93C2" w14:textId="77777777">
      <w:pPr>
        <w:rPr>
          <w:color w:val="000000" w:themeColor="text1"/>
        </w:rPr>
      </w:pPr>
    </w:p>
    <w:p w:rsidRPr="003358C0" w:rsidR="00AB7259" w:rsidP="00E554C3" w:rsidRDefault="003813E0" w14:paraId="731E0E42" w14:textId="67B51084">
      <w:pPr>
        <w:pStyle w:val="Heading3"/>
        <w:rPr>
          <w:rFonts w:eastAsia="Times New Roman"/>
        </w:rPr>
      </w:pPr>
      <w:r w:rsidRPr="003358C0">
        <w:rPr>
          <w:rFonts w:eastAsia="Times New Roman"/>
        </w:rPr>
        <w:t xml:space="preserve">IIRIRA and </w:t>
      </w:r>
      <w:r w:rsidRPr="003358C0" w:rsidR="007B2E7A">
        <w:rPr>
          <w:rFonts w:eastAsia="Times New Roman"/>
        </w:rPr>
        <w:t>Subsequent BIA Precedent</w:t>
      </w:r>
    </w:p>
    <w:p w:rsidRPr="003358C0" w:rsidR="00B728F8" w:rsidP="00302BF8" w:rsidRDefault="00B728F8" w14:paraId="4C222C38" w14:textId="77777777">
      <w:pPr>
        <w:pStyle w:val="ListParagraph"/>
        <w:spacing w:after="0"/>
        <w:ind w:left="1440"/>
        <w:rPr>
          <w:rFonts w:eastAsia="Times New Roman" w:cs="Times New Roman"/>
          <w:b w:val="0"/>
          <w:bCs/>
          <w:color w:val="000000" w:themeColor="text1"/>
          <w:szCs w:val="24"/>
        </w:rPr>
      </w:pPr>
    </w:p>
    <w:p w:rsidRPr="00201C83" w:rsidR="0082112C" w:rsidP="004838D7" w:rsidRDefault="72F0E331" w14:paraId="285EE46E" w14:textId="0865B172">
      <w:pPr>
        <w:ind w:firstLine="720"/>
        <w:rPr>
          <w:color w:val="000000" w:themeColor="text1"/>
        </w:rPr>
      </w:pPr>
      <w:r w:rsidRPr="00201C83">
        <w:rPr>
          <w:color w:val="000000" w:themeColor="text1"/>
        </w:rPr>
        <w:t xml:space="preserve">Eight years </w:t>
      </w:r>
      <w:r w:rsidRPr="00201C83" w:rsidR="0082112C">
        <w:rPr>
          <w:color w:val="000000" w:themeColor="text1"/>
        </w:rPr>
        <w:t xml:space="preserve">after </w:t>
      </w:r>
      <w:proofErr w:type="spellStart"/>
      <w:r w:rsidRPr="00201C83" w:rsidR="0082112C">
        <w:rPr>
          <w:i/>
          <w:color w:val="000000" w:themeColor="text1"/>
        </w:rPr>
        <w:t>Ozkok</w:t>
      </w:r>
      <w:proofErr w:type="spellEnd"/>
      <w:r w:rsidRPr="00201C83">
        <w:rPr>
          <w:color w:val="000000" w:themeColor="text1"/>
        </w:rPr>
        <w:t>, Congress codified the definition of “conviction” for the first time</w:t>
      </w:r>
      <w:r w:rsidRPr="00201C83" w:rsidR="00FA21DB">
        <w:rPr>
          <w:color w:val="000000" w:themeColor="text1"/>
        </w:rPr>
        <w:t xml:space="preserve"> in</w:t>
      </w:r>
      <w:r w:rsidRPr="00201C83" w:rsidR="0082112C">
        <w:rPr>
          <w:color w:val="000000" w:themeColor="text1"/>
        </w:rPr>
        <w:t xml:space="preserve"> IIRIRA</w:t>
      </w:r>
      <w:r w:rsidRPr="00201C83">
        <w:rPr>
          <w:color w:val="000000" w:themeColor="text1"/>
        </w:rPr>
        <w:t xml:space="preserve">. </w:t>
      </w:r>
      <w:r w:rsidRPr="00201C83">
        <w:rPr>
          <w:i/>
          <w:iCs/>
          <w:color w:val="000000" w:themeColor="text1"/>
        </w:rPr>
        <w:t>See</w:t>
      </w:r>
      <w:r w:rsidRPr="00201C83">
        <w:rPr>
          <w:color w:val="000000" w:themeColor="text1"/>
        </w:rPr>
        <w:t xml:space="preserve"> </w:t>
      </w:r>
      <w:r w:rsidRPr="00201C83" w:rsidR="00CA45A5">
        <w:rPr>
          <w:color w:val="000000" w:themeColor="text1"/>
        </w:rPr>
        <w:t xml:space="preserve">INA § </w:t>
      </w:r>
      <w:r w:rsidRPr="00201C83">
        <w:rPr>
          <w:color w:val="000000" w:themeColor="text1"/>
        </w:rPr>
        <w:t>101(a)(48)(A). In this definition, Congress adopted</w:t>
      </w:r>
      <w:r w:rsidRPr="00201C83" w:rsidR="00594CB5">
        <w:rPr>
          <w:color w:val="000000" w:themeColor="text1"/>
        </w:rPr>
        <w:t xml:space="preserve"> </w:t>
      </w:r>
      <w:proofErr w:type="spellStart"/>
      <w:r w:rsidRPr="00201C83" w:rsidR="00594CB5">
        <w:rPr>
          <w:i/>
          <w:iCs/>
          <w:color w:val="000000" w:themeColor="text1"/>
        </w:rPr>
        <w:t>Ozkok</w:t>
      </w:r>
      <w:r w:rsidRPr="00201C83" w:rsidR="00594CB5">
        <w:rPr>
          <w:color w:val="000000" w:themeColor="text1"/>
        </w:rPr>
        <w:t>’s</w:t>
      </w:r>
      <w:proofErr w:type="spellEnd"/>
      <w:r w:rsidRPr="00201C83" w:rsidR="00594CB5">
        <w:rPr>
          <w:color w:val="000000" w:themeColor="text1"/>
        </w:rPr>
        <w:t xml:space="preserve"> </w:t>
      </w:r>
      <w:r w:rsidRPr="00201C83" w:rsidR="00CA0AA1">
        <w:rPr>
          <w:color w:val="000000" w:themeColor="text1"/>
        </w:rPr>
        <w:t>two categories of convictions</w:t>
      </w:r>
      <w:r w:rsidRPr="00201C83" w:rsidR="006A66D1">
        <w:rPr>
          <w:color w:val="000000" w:themeColor="text1"/>
        </w:rPr>
        <w:t xml:space="preserve"> almost verbatim</w:t>
      </w:r>
      <w:r w:rsidRPr="00201C83" w:rsidR="003E4871">
        <w:rPr>
          <w:color w:val="000000" w:themeColor="text1"/>
        </w:rPr>
        <w:t xml:space="preserve">: </w:t>
      </w:r>
      <w:r w:rsidRPr="00201C83" w:rsidR="00CA0AA1">
        <w:rPr>
          <w:color w:val="000000" w:themeColor="text1"/>
        </w:rPr>
        <w:t xml:space="preserve">(1) a </w:t>
      </w:r>
      <w:r w:rsidRPr="00201C83" w:rsidR="00594CB5">
        <w:rPr>
          <w:color w:val="000000" w:themeColor="text1"/>
        </w:rPr>
        <w:t>“formal judgment of guilt</w:t>
      </w:r>
      <w:r w:rsidRPr="00201C83" w:rsidR="00CA45A5">
        <w:rPr>
          <w:color w:val="000000" w:themeColor="text1"/>
        </w:rPr>
        <w:t>,</w:t>
      </w:r>
      <w:r w:rsidRPr="00201C83" w:rsidR="00594CB5">
        <w:rPr>
          <w:color w:val="000000" w:themeColor="text1"/>
        </w:rPr>
        <w:t xml:space="preserve">” and </w:t>
      </w:r>
      <w:r w:rsidRPr="00201C83" w:rsidR="00CA0AA1">
        <w:rPr>
          <w:color w:val="000000" w:themeColor="text1"/>
        </w:rPr>
        <w:t xml:space="preserve">(2) a </w:t>
      </w:r>
      <w:r w:rsidRPr="00201C83" w:rsidR="00594CB5">
        <w:rPr>
          <w:color w:val="000000" w:themeColor="text1"/>
        </w:rPr>
        <w:t>deferred or withheld adjudication</w:t>
      </w:r>
      <w:r w:rsidRPr="00201C83" w:rsidR="00FA21DB">
        <w:rPr>
          <w:color w:val="000000" w:themeColor="text1"/>
        </w:rPr>
        <w:t xml:space="preserve"> but applying only</w:t>
      </w:r>
      <w:r w:rsidRPr="00201C83" w:rsidR="00CA0AA1">
        <w:rPr>
          <w:color w:val="000000" w:themeColor="text1"/>
        </w:rPr>
        <w:t xml:space="preserve"> the first two requirements of </w:t>
      </w:r>
      <w:proofErr w:type="spellStart"/>
      <w:r w:rsidRPr="00201C83" w:rsidR="00CA0AA1">
        <w:rPr>
          <w:i/>
          <w:color w:val="000000" w:themeColor="text1"/>
        </w:rPr>
        <w:t>Ozkok</w:t>
      </w:r>
      <w:r w:rsidRPr="00201C83" w:rsidR="00CA0AA1">
        <w:rPr>
          <w:color w:val="000000" w:themeColor="text1"/>
        </w:rPr>
        <w:t>’s</w:t>
      </w:r>
      <w:proofErr w:type="spellEnd"/>
      <w:r w:rsidRPr="00201C83" w:rsidR="00CA0AA1">
        <w:rPr>
          <w:color w:val="000000" w:themeColor="text1"/>
        </w:rPr>
        <w:t xml:space="preserve"> tripartite test</w:t>
      </w:r>
      <w:r w:rsidRPr="00201C83" w:rsidR="0047352D">
        <w:rPr>
          <w:color w:val="000000" w:themeColor="text1"/>
        </w:rPr>
        <w:t>:</w:t>
      </w:r>
    </w:p>
    <w:p w:rsidRPr="00201C83" w:rsidR="009B6E5A" w:rsidP="004838D7" w:rsidRDefault="009B6E5A" w14:paraId="19CBD15A" w14:textId="78489302">
      <w:pPr>
        <w:ind w:right="1440"/>
        <w:rPr>
          <w:color w:val="000000" w:themeColor="text1"/>
        </w:rPr>
      </w:pPr>
    </w:p>
    <w:p w:rsidRPr="00201C83" w:rsidR="009B6E5A" w:rsidP="004838D7" w:rsidRDefault="009B6E5A" w14:paraId="3B2B269D" w14:textId="2C4A52E0">
      <w:pPr>
        <w:ind w:left="1800" w:right="1440"/>
        <w:rPr>
          <w:color w:val="000000" w:themeColor="text1"/>
        </w:rPr>
      </w:pPr>
      <w:bookmarkStart w:name="a_48_A" w:id="1"/>
      <w:bookmarkEnd w:id="1"/>
      <w:r w:rsidRPr="00201C83">
        <w:rPr>
          <w:rStyle w:val="num"/>
          <w:color w:val="000000" w:themeColor="text1"/>
        </w:rPr>
        <w:t xml:space="preserve">(A) </w:t>
      </w:r>
    </w:p>
    <w:p w:rsidRPr="00201C83" w:rsidR="009B6E5A" w:rsidP="004838D7" w:rsidRDefault="009B6E5A" w14:paraId="0175225E" w14:textId="77777777">
      <w:pPr>
        <w:ind w:left="2070" w:right="1440"/>
        <w:rPr>
          <w:color w:val="000000" w:themeColor="text1"/>
        </w:rPr>
      </w:pPr>
      <w:bookmarkStart w:name="a_48_A_i" w:id="2"/>
      <w:bookmarkEnd w:id="2"/>
      <w:r w:rsidRPr="00201C83">
        <w:rPr>
          <w:rStyle w:val="num"/>
          <w:color w:val="000000" w:themeColor="text1"/>
        </w:rPr>
        <w:t>(</w:t>
      </w:r>
      <w:proofErr w:type="spellStart"/>
      <w:r w:rsidRPr="00201C83">
        <w:rPr>
          <w:rStyle w:val="num"/>
          <w:color w:val="000000" w:themeColor="text1"/>
        </w:rPr>
        <w:t>i</w:t>
      </w:r>
      <w:proofErr w:type="spellEnd"/>
      <w:r w:rsidRPr="00201C83">
        <w:rPr>
          <w:rStyle w:val="num"/>
          <w:color w:val="000000" w:themeColor="text1"/>
        </w:rPr>
        <w:t>)</w:t>
      </w:r>
    </w:p>
    <w:p w:rsidRPr="00201C83" w:rsidR="009B6E5A" w:rsidP="004838D7" w:rsidRDefault="009B6E5A" w14:paraId="05B40EA6" w14:textId="62074F24">
      <w:pPr>
        <w:ind w:left="2070" w:right="1440"/>
        <w:rPr>
          <w:color w:val="000000" w:themeColor="text1"/>
        </w:rPr>
      </w:pPr>
      <w:r w:rsidRPr="00201C83">
        <w:rPr>
          <w:color w:val="000000" w:themeColor="text1"/>
        </w:rPr>
        <w:t>a judge or jury has found the</w:t>
      </w:r>
      <w:r w:rsidRPr="00201C83">
        <w:rPr>
          <w:rStyle w:val="apple-converted-space"/>
          <w:color w:val="000000" w:themeColor="text1"/>
        </w:rPr>
        <w:t> </w:t>
      </w:r>
      <w:r w:rsidRPr="00201C83" w:rsidR="007B2E7A">
        <w:rPr>
          <w:rStyle w:val="apple-converted-space"/>
          <w:color w:val="000000" w:themeColor="text1"/>
        </w:rPr>
        <w:t>[noncitizen]</w:t>
      </w:r>
      <w:r w:rsidRPr="00201C83">
        <w:rPr>
          <w:color w:val="000000" w:themeColor="text1"/>
        </w:rPr>
        <w:t xml:space="preserve"> guilty or the</w:t>
      </w:r>
      <w:r w:rsidRPr="00201C83">
        <w:rPr>
          <w:rStyle w:val="apple-converted-space"/>
          <w:color w:val="000000" w:themeColor="text1"/>
        </w:rPr>
        <w:t> </w:t>
      </w:r>
      <w:r w:rsidRPr="00201C83" w:rsidR="007B2E7A">
        <w:rPr>
          <w:rStyle w:val="apple-converted-space"/>
          <w:color w:val="000000" w:themeColor="text1"/>
        </w:rPr>
        <w:t>[noncitizen]</w:t>
      </w:r>
      <w:r w:rsidRPr="00201C83">
        <w:rPr>
          <w:rStyle w:val="apple-converted-space"/>
          <w:color w:val="000000" w:themeColor="text1"/>
        </w:rPr>
        <w:t> </w:t>
      </w:r>
      <w:r w:rsidRPr="00201C83">
        <w:rPr>
          <w:color w:val="000000" w:themeColor="text1"/>
        </w:rPr>
        <w:t>has entered a plea of guilty or nolo contendere or has admitted sufficient facts to warrant a finding of guilt, and</w:t>
      </w:r>
    </w:p>
    <w:p w:rsidRPr="00201C83" w:rsidR="009B6E5A" w:rsidP="004838D7" w:rsidRDefault="009B6E5A" w14:paraId="67A2A702" w14:textId="77777777">
      <w:pPr>
        <w:ind w:left="2070" w:right="1440"/>
        <w:rPr>
          <w:color w:val="000000" w:themeColor="text1"/>
        </w:rPr>
      </w:pPr>
      <w:bookmarkStart w:name="a_48_A_ii" w:id="3"/>
      <w:bookmarkEnd w:id="3"/>
      <w:r w:rsidRPr="00201C83">
        <w:rPr>
          <w:rStyle w:val="num"/>
          <w:color w:val="000000" w:themeColor="text1"/>
        </w:rPr>
        <w:t>(ii)</w:t>
      </w:r>
    </w:p>
    <w:p w:rsidRPr="00201C83" w:rsidR="009B6E5A" w:rsidP="004838D7" w:rsidRDefault="009B6E5A" w14:paraId="65EDDF9C" w14:textId="79638307">
      <w:pPr>
        <w:ind w:left="2070" w:right="1440"/>
        <w:rPr>
          <w:color w:val="000000" w:themeColor="text1"/>
        </w:rPr>
      </w:pPr>
      <w:r w:rsidRPr="00201C83">
        <w:rPr>
          <w:color w:val="000000" w:themeColor="text1"/>
        </w:rPr>
        <w:t>the judge has ordered some form of punishment, penalty, or restraint on the</w:t>
      </w:r>
      <w:r w:rsidRPr="00201C83">
        <w:rPr>
          <w:rStyle w:val="apple-converted-space"/>
          <w:color w:val="000000" w:themeColor="text1"/>
        </w:rPr>
        <w:t> </w:t>
      </w:r>
      <w:r w:rsidRPr="00201C83" w:rsidR="007B2E7A">
        <w:rPr>
          <w:rStyle w:val="apple-converted-space"/>
          <w:color w:val="000000" w:themeColor="text1"/>
        </w:rPr>
        <w:t>[noncitizen]</w:t>
      </w:r>
      <w:r w:rsidRPr="00201C83">
        <w:rPr>
          <w:color w:val="000000" w:themeColor="text1"/>
        </w:rPr>
        <w:t>’s liberty to be imposed.</w:t>
      </w:r>
    </w:p>
    <w:p w:rsidRPr="00201C83" w:rsidR="00846804" w:rsidP="004838D7" w:rsidRDefault="00846804" w14:paraId="075F7797" w14:textId="77777777">
      <w:pPr>
        <w:ind w:right="1440"/>
        <w:rPr>
          <w:i/>
          <w:iCs/>
          <w:color w:val="000000" w:themeColor="text1"/>
        </w:rPr>
      </w:pPr>
    </w:p>
    <w:p w:rsidRPr="00201C83" w:rsidR="00FA21DB" w:rsidP="00302BF8" w:rsidRDefault="00010597" w14:paraId="0248319F" w14:textId="4CBE11FA">
      <w:pPr>
        <w:rPr>
          <w:color w:val="000000" w:themeColor="text1"/>
        </w:rPr>
      </w:pPr>
      <w:r w:rsidRPr="00201C83">
        <w:rPr>
          <w:iCs/>
          <w:color w:val="000000" w:themeColor="text1"/>
        </w:rPr>
        <w:t>INA</w:t>
      </w:r>
      <w:r w:rsidRPr="00201C83" w:rsidR="00846804">
        <w:rPr>
          <w:iCs/>
          <w:color w:val="000000" w:themeColor="text1"/>
        </w:rPr>
        <w:t xml:space="preserve"> § 101(a)(48)(A)</w:t>
      </w:r>
      <w:r w:rsidRPr="00201C83" w:rsidR="00902825">
        <w:rPr>
          <w:color w:val="000000" w:themeColor="text1"/>
        </w:rPr>
        <w:t xml:space="preserve">; </w:t>
      </w:r>
      <w:r w:rsidR="0044116A">
        <w:rPr>
          <w:color w:val="000000" w:themeColor="text1"/>
        </w:rPr>
        <w:t xml:space="preserve">attached as </w:t>
      </w:r>
      <w:r w:rsidRPr="00201C83" w:rsidR="00902825">
        <w:rPr>
          <w:color w:val="000000" w:themeColor="text1"/>
        </w:rPr>
        <w:t xml:space="preserve">Appendix </w:t>
      </w:r>
      <w:r w:rsidR="0044116A">
        <w:rPr>
          <w:color w:val="000000" w:themeColor="text1"/>
        </w:rPr>
        <w:t>A.</w:t>
      </w:r>
      <w:r w:rsidRPr="00201C83" w:rsidR="001974D0">
        <w:rPr>
          <w:color w:val="000000" w:themeColor="text1"/>
        </w:rPr>
        <w:t xml:space="preserve"> </w:t>
      </w:r>
    </w:p>
    <w:p w:rsidRPr="00201C83" w:rsidR="00A72BE8" w:rsidP="00302BF8" w:rsidRDefault="00A72BE8" w14:paraId="09C5C7C7" w14:textId="77777777">
      <w:pPr>
        <w:rPr>
          <w:color w:val="000000" w:themeColor="text1"/>
        </w:rPr>
      </w:pPr>
    </w:p>
    <w:p w:rsidR="00B265E6" w:rsidP="009E369D" w:rsidRDefault="00010597" w14:paraId="7A67A2C0" w14:textId="5E993A48">
      <w:pPr>
        <w:ind w:firstLine="720"/>
        <w:rPr>
          <w:color w:val="000000" w:themeColor="text1"/>
        </w:rPr>
      </w:pPr>
      <w:r w:rsidRPr="00201C83">
        <w:rPr>
          <w:color w:val="000000" w:themeColor="text1"/>
        </w:rPr>
        <w:t xml:space="preserve">In codifying a definition in the INA, </w:t>
      </w:r>
      <w:r w:rsidRPr="00201C83" w:rsidR="00FA21DB">
        <w:rPr>
          <w:color w:val="000000" w:themeColor="text1"/>
        </w:rPr>
        <w:t xml:space="preserve">Congress did not alter the </w:t>
      </w:r>
      <w:r w:rsidRPr="00201C83" w:rsidR="006F1189">
        <w:rPr>
          <w:color w:val="000000" w:themeColor="text1"/>
        </w:rPr>
        <w:t xml:space="preserve">first prong of the </w:t>
      </w:r>
      <w:proofErr w:type="spellStart"/>
      <w:r w:rsidRPr="00201C83" w:rsidR="006F1189">
        <w:rPr>
          <w:i/>
          <w:iCs/>
          <w:color w:val="000000" w:themeColor="text1"/>
        </w:rPr>
        <w:t>Ozkok</w:t>
      </w:r>
      <w:proofErr w:type="spellEnd"/>
      <w:r w:rsidRPr="00201C83" w:rsidR="006F1189">
        <w:rPr>
          <w:color w:val="000000" w:themeColor="text1"/>
        </w:rPr>
        <w:t xml:space="preserve"> definition of conviction</w:t>
      </w:r>
      <w:r w:rsidRPr="00201C83">
        <w:rPr>
          <w:color w:val="000000" w:themeColor="text1"/>
        </w:rPr>
        <w:t xml:space="preserve">, </w:t>
      </w:r>
      <w:r w:rsidRPr="00201C83" w:rsidR="006F1189">
        <w:rPr>
          <w:color w:val="000000" w:themeColor="text1"/>
        </w:rPr>
        <w:t xml:space="preserve">a </w:t>
      </w:r>
      <w:r w:rsidRPr="00201C83" w:rsidR="00FA21DB">
        <w:rPr>
          <w:color w:val="000000" w:themeColor="text1"/>
        </w:rPr>
        <w:t>“formal judgment of guilt</w:t>
      </w:r>
      <w:r w:rsidRPr="00201C83" w:rsidR="006F1189">
        <w:rPr>
          <w:color w:val="000000" w:themeColor="text1"/>
        </w:rPr>
        <w:t xml:space="preserve"> entered by a court.</w:t>
      </w:r>
      <w:r w:rsidRPr="00201C83" w:rsidR="00FA21DB">
        <w:rPr>
          <w:color w:val="000000" w:themeColor="text1"/>
        </w:rPr>
        <w:t xml:space="preserve">” </w:t>
      </w:r>
      <w:r w:rsidRPr="00201C83">
        <w:rPr>
          <w:color w:val="000000" w:themeColor="text1"/>
        </w:rPr>
        <w:t xml:space="preserve">Congress only altered </w:t>
      </w:r>
      <w:r w:rsidRPr="00201C83" w:rsidR="00CA0AA1">
        <w:rPr>
          <w:color w:val="000000" w:themeColor="text1"/>
        </w:rPr>
        <w:t>the</w:t>
      </w:r>
      <w:r w:rsidRPr="00201C83">
        <w:rPr>
          <w:color w:val="000000" w:themeColor="text1"/>
        </w:rPr>
        <w:t xml:space="preserve"> second prong of the</w:t>
      </w:r>
      <w:r w:rsidRPr="00201C83" w:rsidR="00CA0AA1">
        <w:rPr>
          <w:color w:val="000000" w:themeColor="text1"/>
        </w:rPr>
        <w:t xml:space="preserve"> </w:t>
      </w:r>
      <w:proofErr w:type="spellStart"/>
      <w:r w:rsidRPr="00201C83" w:rsidR="00F27BCD">
        <w:rPr>
          <w:i/>
          <w:color w:val="000000" w:themeColor="text1"/>
        </w:rPr>
        <w:t>Ozkok</w:t>
      </w:r>
      <w:proofErr w:type="spellEnd"/>
      <w:r w:rsidRPr="00201C83" w:rsidR="00F27BCD">
        <w:rPr>
          <w:color w:val="000000" w:themeColor="text1"/>
        </w:rPr>
        <w:t xml:space="preserve"> definition</w:t>
      </w:r>
      <w:r w:rsidRPr="00201C83">
        <w:rPr>
          <w:color w:val="000000" w:themeColor="text1"/>
        </w:rPr>
        <w:t xml:space="preserve">, </w:t>
      </w:r>
      <w:r w:rsidRPr="00201C83" w:rsidR="00B265E6">
        <w:rPr>
          <w:color w:val="000000" w:themeColor="text1"/>
        </w:rPr>
        <w:t>withheld adjudications</w:t>
      </w:r>
      <w:r w:rsidRPr="00201C83">
        <w:rPr>
          <w:color w:val="000000" w:themeColor="text1"/>
        </w:rPr>
        <w:t xml:space="preserve">. For withheld adjudications, </w:t>
      </w:r>
      <w:r w:rsidRPr="00201C83" w:rsidR="00F27BCD">
        <w:rPr>
          <w:color w:val="000000" w:themeColor="text1"/>
        </w:rPr>
        <w:t xml:space="preserve">Congress adopted the first two requirements of </w:t>
      </w:r>
      <w:proofErr w:type="spellStart"/>
      <w:r w:rsidRPr="00201C83" w:rsidR="00F27BCD">
        <w:rPr>
          <w:i/>
          <w:color w:val="000000" w:themeColor="text1"/>
        </w:rPr>
        <w:t>Ozkok</w:t>
      </w:r>
      <w:r w:rsidRPr="00201C83" w:rsidR="00F27BCD">
        <w:rPr>
          <w:color w:val="000000" w:themeColor="text1"/>
        </w:rPr>
        <w:t>’s</w:t>
      </w:r>
      <w:proofErr w:type="spellEnd"/>
      <w:r w:rsidRPr="00201C83" w:rsidR="00F27BCD">
        <w:rPr>
          <w:color w:val="000000" w:themeColor="text1"/>
        </w:rPr>
        <w:t xml:space="preserve"> tripartite test but omitted the third.</w:t>
      </w:r>
      <w:r w:rsidR="00A63276">
        <w:rPr>
          <w:color w:val="000000" w:themeColor="text1"/>
        </w:rPr>
        <w:t xml:space="preserve"> Nowhere does</w:t>
      </w:r>
      <w:r w:rsidRPr="00201C83">
        <w:rPr>
          <w:color w:val="000000" w:themeColor="text1"/>
        </w:rPr>
        <w:t xml:space="preserve"> t</w:t>
      </w:r>
      <w:r w:rsidRPr="00201C83" w:rsidR="00F27BCD">
        <w:rPr>
          <w:color w:val="000000" w:themeColor="text1"/>
        </w:rPr>
        <w:t xml:space="preserve">he </w:t>
      </w:r>
      <w:r w:rsidRPr="00201C83">
        <w:rPr>
          <w:color w:val="000000" w:themeColor="text1"/>
        </w:rPr>
        <w:t xml:space="preserve">INA </w:t>
      </w:r>
      <w:r w:rsidRPr="00201C83" w:rsidR="00F27BCD">
        <w:rPr>
          <w:color w:val="000000" w:themeColor="text1"/>
        </w:rPr>
        <w:t>definition</w:t>
      </w:r>
      <w:r w:rsidR="00A63276">
        <w:rPr>
          <w:color w:val="000000" w:themeColor="text1"/>
        </w:rPr>
        <w:t xml:space="preserve"> expressly include or even</w:t>
      </w:r>
      <w:r w:rsidRPr="00201C83" w:rsidR="00F27BCD">
        <w:rPr>
          <w:color w:val="000000" w:themeColor="text1"/>
        </w:rPr>
        <w:t xml:space="preserve"> </w:t>
      </w:r>
      <w:r w:rsidRPr="00201C83" w:rsidR="00B265E6">
        <w:rPr>
          <w:color w:val="000000" w:themeColor="text1"/>
        </w:rPr>
        <w:t>refer to</w:t>
      </w:r>
      <w:r w:rsidRPr="00201C83" w:rsidR="00F27BCD">
        <w:rPr>
          <w:color w:val="000000" w:themeColor="text1"/>
        </w:rPr>
        <w:t xml:space="preserve"> vacated or expunged convictions, </w:t>
      </w:r>
      <w:r w:rsidRPr="00201C83" w:rsidR="00902825">
        <w:rPr>
          <w:color w:val="000000" w:themeColor="text1"/>
        </w:rPr>
        <w:t>nor does the</w:t>
      </w:r>
      <w:r w:rsidRPr="00201C83" w:rsidR="00F27BCD">
        <w:rPr>
          <w:color w:val="000000" w:themeColor="text1"/>
        </w:rPr>
        <w:t xml:space="preserve"> accompanying legislative history</w:t>
      </w:r>
      <w:r w:rsidR="00730A22">
        <w:rPr>
          <w:color w:val="000000" w:themeColor="text1"/>
        </w:rPr>
        <w:t xml:space="preserve"> discuss them</w:t>
      </w:r>
      <w:r w:rsidRPr="00201C83" w:rsidR="00F27BCD">
        <w:rPr>
          <w:color w:val="000000" w:themeColor="text1"/>
        </w:rPr>
        <w:t xml:space="preserve">. </w:t>
      </w:r>
      <w:r w:rsidRPr="00201C83" w:rsidR="00F27BCD">
        <w:rPr>
          <w:i/>
          <w:iCs/>
          <w:color w:val="000000" w:themeColor="text1"/>
        </w:rPr>
        <w:t>See</w:t>
      </w:r>
      <w:r w:rsidRPr="00201C83" w:rsidR="00F27BCD">
        <w:rPr>
          <w:color w:val="000000" w:themeColor="text1"/>
        </w:rPr>
        <w:t xml:space="preserve"> H.R. Conf. Rep. No.104-828, at 223–24 (1996).</w:t>
      </w:r>
      <w:r w:rsidRPr="00201C83" w:rsidR="00004682">
        <w:rPr>
          <w:color w:val="000000" w:themeColor="text1"/>
        </w:rPr>
        <w:t xml:space="preserve"> </w:t>
      </w:r>
    </w:p>
    <w:p w:rsidRPr="003358C0" w:rsidR="00D272F5" w:rsidP="009E369D" w:rsidRDefault="00D272F5" w14:paraId="375DBE63" w14:textId="77777777">
      <w:pPr>
        <w:ind w:firstLine="720"/>
        <w:rPr>
          <w:color w:val="000000" w:themeColor="text1"/>
        </w:rPr>
      </w:pPr>
    </w:p>
    <w:p w:rsidR="001D0040" w:rsidP="00B728F8" w:rsidRDefault="00902825" w14:paraId="5ADE80E2" w14:textId="07C1184B">
      <w:pPr>
        <w:ind w:firstLine="720"/>
        <w:rPr>
          <w:color w:val="000000" w:themeColor="text1"/>
        </w:rPr>
      </w:pPr>
      <w:r w:rsidRPr="00201C83">
        <w:rPr>
          <w:color w:val="000000" w:themeColor="text1"/>
        </w:rPr>
        <w:t>T</w:t>
      </w:r>
      <w:r w:rsidRPr="00201C83" w:rsidR="00461669">
        <w:rPr>
          <w:color w:val="000000" w:themeColor="text1"/>
        </w:rPr>
        <w:t>he BIA</w:t>
      </w:r>
      <w:r w:rsidRPr="00201C83">
        <w:rPr>
          <w:color w:val="000000" w:themeColor="text1"/>
        </w:rPr>
        <w:t xml:space="preserve"> </w:t>
      </w:r>
      <w:r w:rsidRPr="00201C83" w:rsidR="005D022D">
        <w:rPr>
          <w:color w:val="000000" w:themeColor="text1"/>
        </w:rPr>
        <w:t xml:space="preserve">nevertheless </w:t>
      </w:r>
      <w:r w:rsidRPr="00201C83">
        <w:rPr>
          <w:color w:val="000000" w:themeColor="text1"/>
        </w:rPr>
        <w:t>held</w:t>
      </w:r>
      <w:r w:rsidRPr="00201C83" w:rsidR="00461669">
        <w:rPr>
          <w:color w:val="000000" w:themeColor="text1"/>
        </w:rPr>
        <w:t xml:space="preserve"> </w:t>
      </w:r>
      <w:r w:rsidRPr="00201C83" w:rsidR="72F0E331">
        <w:rPr>
          <w:color w:val="000000" w:themeColor="text1"/>
        </w:rPr>
        <w:t xml:space="preserve">in </w:t>
      </w:r>
      <w:r w:rsidRPr="0001149C" w:rsidR="0001149C">
        <w:rPr>
          <w:i/>
          <w:color w:val="000000" w:themeColor="text1"/>
        </w:rPr>
        <w:t>Matter of</w:t>
      </w:r>
      <w:r w:rsidR="0001149C">
        <w:rPr>
          <w:color w:val="000000" w:themeColor="text1"/>
        </w:rPr>
        <w:t xml:space="preserve"> </w:t>
      </w:r>
      <w:r w:rsidRPr="00201C83" w:rsidR="72F0E331">
        <w:rPr>
          <w:i/>
          <w:iCs/>
          <w:color w:val="000000" w:themeColor="text1"/>
        </w:rPr>
        <w:t>Roldan</w:t>
      </w:r>
      <w:r w:rsidRPr="00201C83" w:rsidR="72F0E331">
        <w:rPr>
          <w:color w:val="000000" w:themeColor="text1"/>
        </w:rPr>
        <w:t xml:space="preserve"> that convictions eliminated </w:t>
      </w:r>
      <w:r w:rsidRPr="00201C83">
        <w:rPr>
          <w:color w:val="000000" w:themeColor="text1"/>
        </w:rPr>
        <w:t>for</w:t>
      </w:r>
      <w:r w:rsidRPr="00201C83" w:rsidR="006F1189">
        <w:rPr>
          <w:color w:val="000000" w:themeColor="text1"/>
        </w:rPr>
        <w:t xml:space="preserve"> so-called </w:t>
      </w:r>
      <w:r w:rsidRPr="00201C83" w:rsidR="00193F25">
        <w:rPr>
          <w:color w:val="000000" w:themeColor="text1"/>
        </w:rPr>
        <w:t>“</w:t>
      </w:r>
      <w:r w:rsidRPr="00201C83" w:rsidR="72F0E331">
        <w:rPr>
          <w:color w:val="000000" w:themeColor="text1"/>
        </w:rPr>
        <w:t>rehabilitative</w:t>
      </w:r>
      <w:r w:rsidRPr="00201C83" w:rsidR="00193F25">
        <w:rPr>
          <w:color w:val="000000" w:themeColor="text1"/>
        </w:rPr>
        <w:t>”</w:t>
      </w:r>
      <w:r w:rsidRPr="00201C83">
        <w:rPr>
          <w:color w:val="000000" w:themeColor="text1"/>
        </w:rPr>
        <w:t xml:space="preserve"> reasons </w:t>
      </w:r>
      <w:r w:rsidRPr="00201C83" w:rsidR="72F0E331">
        <w:rPr>
          <w:color w:val="000000" w:themeColor="text1"/>
        </w:rPr>
        <w:t>remain convictions for immigration purposes</w:t>
      </w:r>
      <w:r w:rsidRPr="00201C83" w:rsidR="005515D0">
        <w:rPr>
          <w:color w:val="000000" w:themeColor="text1"/>
        </w:rPr>
        <w:t xml:space="preserve"> in light of the codified “conviction” definition</w:t>
      </w:r>
      <w:r w:rsidRPr="00201C83" w:rsidR="72F0E331">
        <w:rPr>
          <w:color w:val="000000" w:themeColor="text1"/>
        </w:rPr>
        <w:t>.</w:t>
      </w:r>
      <w:r w:rsidRPr="00201C83" w:rsidR="006E5B6C">
        <w:rPr>
          <w:color w:val="000000" w:themeColor="text1"/>
        </w:rPr>
        <w:t xml:space="preserve"> 22 I&amp;N Dec. </w:t>
      </w:r>
      <w:r w:rsidR="0001149C">
        <w:rPr>
          <w:color w:val="000000" w:themeColor="text1"/>
        </w:rPr>
        <w:t>512,</w:t>
      </w:r>
      <w:r w:rsidRPr="00201C83" w:rsidR="006E5B6C">
        <w:rPr>
          <w:color w:val="000000" w:themeColor="text1"/>
        </w:rPr>
        <w:t xml:space="preserve"> 5</w:t>
      </w:r>
      <w:r w:rsidR="0001149C">
        <w:rPr>
          <w:color w:val="000000" w:themeColor="text1"/>
        </w:rPr>
        <w:t>21</w:t>
      </w:r>
      <w:r w:rsidRPr="003F2D98" w:rsidR="00455750">
        <w:rPr>
          <w:color w:val="000000" w:themeColor="text1"/>
        </w:rPr>
        <w:t>–</w:t>
      </w:r>
      <w:r w:rsidR="0001149C">
        <w:rPr>
          <w:color w:val="000000" w:themeColor="text1"/>
        </w:rPr>
        <w:t>23</w:t>
      </w:r>
      <w:r w:rsidRPr="0001149C" w:rsidR="0001149C">
        <w:rPr>
          <w:color w:val="000000" w:themeColor="text1"/>
        </w:rPr>
        <w:t xml:space="preserve"> (BIA 1999) (</w:t>
      </w:r>
      <w:proofErr w:type="spellStart"/>
      <w:r w:rsidRPr="0001149C" w:rsidR="0001149C">
        <w:rPr>
          <w:color w:val="000000" w:themeColor="text1"/>
        </w:rPr>
        <w:t>en</w:t>
      </w:r>
      <w:proofErr w:type="spellEnd"/>
      <w:r w:rsidRPr="0001149C" w:rsidR="0001149C">
        <w:rPr>
          <w:color w:val="000000" w:themeColor="text1"/>
        </w:rPr>
        <w:t xml:space="preserve"> banc)</w:t>
      </w:r>
      <w:r w:rsidRPr="00201C83" w:rsidR="006E5B6C">
        <w:rPr>
          <w:color w:val="000000" w:themeColor="text1"/>
        </w:rPr>
        <w:t>.</w:t>
      </w:r>
      <w:r w:rsidRPr="00201C83" w:rsidR="72F0E331">
        <w:rPr>
          <w:color w:val="000000" w:themeColor="text1"/>
        </w:rPr>
        <w:t xml:space="preserve"> </w:t>
      </w:r>
      <w:r w:rsidRPr="00201C83" w:rsidR="00BC1A07">
        <w:rPr>
          <w:color w:val="000000" w:themeColor="text1"/>
        </w:rPr>
        <w:t xml:space="preserve">The majority </w:t>
      </w:r>
      <w:r w:rsidRPr="00201C83" w:rsidR="00270917">
        <w:rPr>
          <w:color w:val="000000" w:themeColor="text1"/>
        </w:rPr>
        <w:t>held</w:t>
      </w:r>
      <w:r w:rsidRPr="00201C83" w:rsidR="00316006">
        <w:rPr>
          <w:color w:val="000000" w:themeColor="text1"/>
        </w:rPr>
        <w:t xml:space="preserve"> tha</w:t>
      </w:r>
      <w:r w:rsidRPr="00201C83" w:rsidR="00BC1A07">
        <w:rPr>
          <w:color w:val="000000" w:themeColor="text1"/>
        </w:rPr>
        <w:t xml:space="preserve">t </w:t>
      </w:r>
      <w:r w:rsidRPr="00201C83" w:rsidR="00BC1A07">
        <w:rPr>
          <w:color w:val="000000" w:themeColor="text1"/>
        </w:rPr>
        <w:lastRenderedPageBreak/>
        <w:t>the Congressional Committee Conference Report provided “a clear indication that Congress intends that the determination of whether [</w:t>
      </w:r>
      <w:r w:rsidR="0001149C">
        <w:rPr>
          <w:color w:val="000000" w:themeColor="text1"/>
        </w:rPr>
        <w:t xml:space="preserve">a </w:t>
      </w:r>
      <w:r w:rsidRPr="00201C83" w:rsidR="00BC1A07">
        <w:rPr>
          <w:color w:val="000000" w:themeColor="text1"/>
        </w:rPr>
        <w:t xml:space="preserve">noncitizen] is convicted for immigration purposes be fixed at the time of the original determination of guilt[.]” </w:t>
      </w:r>
      <w:r w:rsidRPr="00201C83" w:rsidR="00BC1A07">
        <w:rPr>
          <w:i/>
          <w:iCs/>
          <w:color w:val="000000" w:themeColor="text1"/>
        </w:rPr>
        <w:t>Id</w:t>
      </w:r>
      <w:r w:rsidRPr="00201C83" w:rsidR="00BC1A07">
        <w:rPr>
          <w:color w:val="000000" w:themeColor="text1"/>
        </w:rPr>
        <w:t xml:space="preserve">. at 521. </w:t>
      </w:r>
      <w:r w:rsidRPr="00201C83" w:rsidR="00C25756">
        <w:rPr>
          <w:color w:val="000000" w:themeColor="text1"/>
        </w:rPr>
        <w:t xml:space="preserve">However, as the </w:t>
      </w:r>
      <w:r w:rsidRPr="00201C83" w:rsidR="00596940">
        <w:rPr>
          <w:color w:val="000000" w:themeColor="text1"/>
        </w:rPr>
        <w:t xml:space="preserve">concurring and dissenting opinion </w:t>
      </w:r>
      <w:r w:rsidRPr="00201C83" w:rsidR="00C25756">
        <w:rPr>
          <w:color w:val="000000" w:themeColor="text1"/>
        </w:rPr>
        <w:t xml:space="preserve">pointed out, the majority’s conclusion </w:t>
      </w:r>
      <w:r w:rsidRPr="00201C83" w:rsidR="00C043CD">
        <w:rPr>
          <w:color w:val="000000" w:themeColor="text1"/>
        </w:rPr>
        <w:t xml:space="preserve">rested on deeply flawed reasoning </w:t>
      </w:r>
      <w:r w:rsidRPr="00201C83" w:rsidR="00C25756">
        <w:rPr>
          <w:color w:val="000000" w:themeColor="text1"/>
        </w:rPr>
        <w:t xml:space="preserve">because the legislative history “does not expressly evince any will on the part of Congress to include all vacated or expunged criminal convictions within the definition of a conviction.” </w:t>
      </w:r>
      <w:r w:rsidRPr="00201C83" w:rsidR="00C25756">
        <w:rPr>
          <w:i/>
          <w:iCs/>
          <w:color w:val="000000" w:themeColor="text1"/>
        </w:rPr>
        <w:t>Id</w:t>
      </w:r>
      <w:r w:rsidRPr="00201C83" w:rsidR="00C25756">
        <w:rPr>
          <w:color w:val="000000" w:themeColor="text1"/>
        </w:rPr>
        <w:t>. at 531–32</w:t>
      </w:r>
      <w:r w:rsidRPr="00201C83" w:rsidR="005515D0">
        <w:rPr>
          <w:color w:val="000000" w:themeColor="text1"/>
        </w:rPr>
        <w:t xml:space="preserve"> (</w:t>
      </w:r>
      <w:r w:rsidRPr="00201C83" w:rsidR="00C043F2">
        <w:rPr>
          <w:color w:val="000000" w:themeColor="text1"/>
        </w:rPr>
        <w:t xml:space="preserve">Bd. Member </w:t>
      </w:r>
      <w:proofErr w:type="spellStart"/>
      <w:r w:rsidRPr="00201C83" w:rsidR="005515D0">
        <w:rPr>
          <w:color w:val="000000" w:themeColor="text1"/>
        </w:rPr>
        <w:t>Villageliu</w:t>
      </w:r>
      <w:proofErr w:type="spellEnd"/>
      <w:r w:rsidRPr="00201C83" w:rsidR="00C043F2">
        <w:rPr>
          <w:color w:val="000000" w:themeColor="text1"/>
        </w:rPr>
        <w:t>,</w:t>
      </w:r>
      <w:r w:rsidRPr="00201C83" w:rsidR="005515D0">
        <w:rPr>
          <w:color w:val="000000" w:themeColor="text1"/>
        </w:rPr>
        <w:t xml:space="preserve"> et al., dissenting</w:t>
      </w:r>
      <w:r w:rsidRPr="00201C83" w:rsidR="00C043F2">
        <w:rPr>
          <w:color w:val="000000" w:themeColor="text1"/>
        </w:rPr>
        <w:t xml:space="preserve"> in part and concurring in part</w:t>
      </w:r>
      <w:r w:rsidRPr="00201C83" w:rsidR="0000357D">
        <w:rPr>
          <w:color w:val="000000" w:themeColor="text1"/>
        </w:rPr>
        <w:t xml:space="preserve">); </w:t>
      </w:r>
      <w:r w:rsidRPr="00201C83" w:rsidR="0000357D">
        <w:rPr>
          <w:i/>
          <w:iCs/>
          <w:color w:val="000000" w:themeColor="text1"/>
        </w:rPr>
        <w:t>id</w:t>
      </w:r>
      <w:r w:rsidRPr="00201C83" w:rsidR="0000357D">
        <w:rPr>
          <w:color w:val="000000" w:themeColor="text1"/>
        </w:rPr>
        <w:t xml:space="preserve"> at </w:t>
      </w:r>
      <w:r w:rsidRPr="00201C83" w:rsidR="009653A6">
        <w:rPr>
          <w:color w:val="000000" w:themeColor="text1"/>
        </w:rPr>
        <w:t>529</w:t>
      </w:r>
      <w:r w:rsidRPr="003F2D98" w:rsidR="00455750">
        <w:rPr>
          <w:color w:val="000000" w:themeColor="text1"/>
        </w:rPr>
        <w:t>–</w:t>
      </w:r>
      <w:r w:rsidRPr="00201C83" w:rsidR="009653A6">
        <w:rPr>
          <w:color w:val="000000" w:themeColor="text1"/>
        </w:rPr>
        <w:t>30 (</w:t>
      </w:r>
      <w:r w:rsidR="00A63276">
        <w:rPr>
          <w:color w:val="000000" w:themeColor="text1"/>
        </w:rPr>
        <w:t xml:space="preserve">characterizing as </w:t>
      </w:r>
      <w:r w:rsidRPr="00A63276" w:rsidR="00A63276">
        <w:rPr>
          <w:i/>
          <w:iCs/>
          <w:color w:val="000000" w:themeColor="text1"/>
        </w:rPr>
        <w:t>dicta</w:t>
      </w:r>
      <w:r w:rsidR="00A63276">
        <w:rPr>
          <w:color w:val="000000" w:themeColor="text1"/>
        </w:rPr>
        <w:t xml:space="preserve"> the part of the majority opinion that found </w:t>
      </w:r>
      <w:r w:rsidRPr="00201C83" w:rsidR="009653A6">
        <w:rPr>
          <w:color w:val="000000" w:themeColor="text1"/>
        </w:rPr>
        <w:t>“the scope of section 101(a)(48)(A) of the Act is also designed to cover all convictions that have been either vacated or expunged.”).</w:t>
      </w:r>
      <w:r w:rsidRPr="00201C83" w:rsidR="0000357D">
        <w:rPr>
          <w:color w:val="000000" w:themeColor="text1"/>
        </w:rPr>
        <w:t xml:space="preserve"> </w:t>
      </w:r>
      <w:r w:rsidRPr="00201C83" w:rsidR="009653A6">
        <w:rPr>
          <w:i/>
          <w:color w:val="000000" w:themeColor="text1"/>
        </w:rPr>
        <w:t>See also Matter of Rodriguez-Ruiz</w:t>
      </w:r>
      <w:r w:rsidRPr="00201C83" w:rsidR="009653A6">
        <w:rPr>
          <w:color w:val="000000" w:themeColor="text1"/>
        </w:rPr>
        <w:t>, 22 I&amp;N Dec. 1378</w:t>
      </w:r>
      <w:r w:rsidR="00264105">
        <w:rPr>
          <w:color w:val="000000" w:themeColor="text1"/>
        </w:rPr>
        <w:t>, 1379</w:t>
      </w:r>
      <w:r w:rsidRPr="003F2D98" w:rsidR="009F56BA">
        <w:rPr>
          <w:color w:val="000000" w:themeColor="text1"/>
        </w:rPr>
        <w:t>–</w:t>
      </w:r>
      <w:r w:rsidR="00264105">
        <w:rPr>
          <w:color w:val="000000" w:themeColor="text1"/>
        </w:rPr>
        <w:t>80</w:t>
      </w:r>
      <w:r w:rsidRPr="00201C83" w:rsidR="009653A6">
        <w:rPr>
          <w:color w:val="000000" w:themeColor="text1"/>
        </w:rPr>
        <w:t xml:space="preserve"> (BIA 2000) (holding that a conviction vacated under Article 440 of New York’s Criminal Procedure Law is not a conviction because such vacatur is not a state rehabilitative action, distinguishing </w:t>
      </w:r>
      <w:r w:rsidRPr="00201C83" w:rsidR="009653A6">
        <w:rPr>
          <w:i/>
          <w:color w:val="000000" w:themeColor="text1"/>
        </w:rPr>
        <w:t>Roldan</w:t>
      </w:r>
      <w:r w:rsidRPr="00201C83" w:rsidR="009653A6">
        <w:rPr>
          <w:color w:val="000000" w:themeColor="text1"/>
        </w:rPr>
        <w:t>).</w:t>
      </w:r>
    </w:p>
    <w:p w:rsidRPr="00201C83" w:rsidR="00D272F5" w:rsidP="00B728F8" w:rsidRDefault="00D272F5" w14:paraId="15CDB637" w14:textId="77777777">
      <w:pPr>
        <w:ind w:firstLine="720"/>
        <w:rPr>
          <w:color w:val="000000" w:themeColor="text1"/>
        </w:rPr>
      </w:pPr>
    </w:p>
    <w:p w:rsidRPr="003358C0" w:rsidR="006D6CF4" w:rsidP="004838D7" w:rsidRDefault="005D022D" w14:paraId="0D0B2695" w14:textId="70F42C12">
      <w:pPr>
        <w:ind w:firstLine="720"/>
        <w:rPr>
          <w:color w:val="000000" w:themeColor="text1"/>
        </w:rPr>
      </w:pPr>
      <w:r w:rsidRPr="00201C83">
        <w:rPr>
          <w:color w:val="000000" w:themeColor="text1"/>
        </w:rPr>
        <w:t>Then, i</w:t>
      </w:r>
      <w:r w:rsidRPr="00201C83" w:rsidR="002E5905">
        <w:rPr>
          <w:color w:val="000000" w:themeColor="text1"/>
        </w:rPr>
        <w:t xml:space="preserve">n </w:t>
      </w:r>
      <w:r w:rsidRPr="00264105" w:rsidR="00264105">
        <w:rPr>
          <w:i/>
          <w:color w:val="000000" w:themeColor="text1"/>
        </w:rPr>
        <w:t>Matter of</w:t>
      </w:r>
      <w:r w:rsidR="00264105">
        <w:rPr>
          <w:color w:val="000000" w:themeColor="text1"/>
        </w:rPr>
        <w:t xml:space="preserve"> </w:t>
      </w:r>
      <w:r w:rsidRPr="00201C83" w:rsidR="002E5905">
        <w:rPr>
          <w:i/>
          <w:color w:val="000000" w:themeColor="text1"/>
        </w:rPr>
        <w:t>Pickering</w:t>
      </w:r>
      <w:r w:rsidRPr="00201C83" w:rsidR="005515D0">
        <w:rPr>
          <w:color w:val="000000" w:themeColor="text1"/>
        </w:rPr>
        <w:t xml:space="preserve">, </w:t>
      </w:r>
      <w:r w:rsidRPr="00201C83" w:rsidR="002D3D23">
        <w:rPr>
          <w:color w:val="000000" w:themeColor="text1"/>
        </w:rPr>
        <w:t>the Board held that a conviction that is vacated “based on a defect in the underlying criminal proceeding</w:t>
      </w:r>
      <w:r w:rsidR="00AA04E4">
        <w:rPr>
          <w:color w:val="000000" w:themeColor="text1"/>
        </w:rPr>
        <w:t>s</w:t>
      </w:r>
      <w:r w:rsidRPr="00201C83" w:rsidR="002D3D23">
        <w:rPr>
          <w:color w:val="000000" w:themeColor="text1"/>
        </w:rPr>
        <w:t xml:space="preserve">” is no longer a “conviction” under the statutory definition, </w:t>
      </w:r>
      <w:r w:rsidRPr="00201C83" w:rsidR="00E72A32">
        <w:rPr>
          <w:color w:val="000000" w:themeColor="text1"/>
        </w:rPr>
        <w:t>while</w:t>
      </w:r>
      <w:r w:rsidRPr="00201C83" w:rsidR="002D3D23">
        <w:rPr>
          <w:color w:val="000000" w:themeColor="text1"/>
        </w:rPr>
        <w:t xml:space="preserve"> a conviction vacated “for reasons unrelated to the merits of the underlying criminal proceedings” remains a conviction for immigration purposes. </w:t>
      </w:r>
      <w:r w:rsidRPr="00201C83" w:rsidR="00D777AA">
        <w:rPr>
          <w:color w:val="000000" w:themeColor="text1"/>
        </w:rPr>
        <w:t xml:space="preserve">23 I&amp;N Dec. </w:t>
      </w:r>
      <w:r w:rsidR="00264105">
        <w:rPr>
          <w:color w:val="000000" w:themeColor="text1"/>
        </w:rPr>
        <w:t>621,</w:t>
      </w:r>
      <w:r w:rsidRPr="00201C83" w:rsidR="00D777AA">
        <w:rPr>
          <w:color w:val="000000" w:themeColor="text1"/>
        </w:rPr>
        <w:t xml:space="preserve"> 624</w:t>
      </w:r>
      <w:r w:rsidR="00264105">
        <w:rPr>
          <w:color w:val="000000" w:themeColor="text1"/>
        </w:rPr>
        <w:t xml:space="preserve"> </w:t>
      </w:r>
      <w:r w:rsidRPr="00264105" w:rsidR="00264105">
        <w:rPr>
          <w:color w:val="000000" w:themeColor="text1"/>
        </w:rPr>
        <w:t>(BIA 2003)</w:t>
      </w:r>
      <w:r w:rsidRPr="00201C83" w:rsidR="00D777AA">
        <w:rPr>
          <w:color w:val="000000" w:themeColor="text1"/>
        </w:rPr>
        <w:t xml:space="preserve">, </w:t>
      </w:r>
      <w:proofErr w:type="spellStart"/>
      <w:r w:rsidRPr="00201C83" w:rsidR="00D777AA">
        <w:rPr>
          <w:i/>
          <w:iCs/>
          <w:color w:val="000000" w:themeColor="text1"/>
        </w:rPr>
        <w:t>rev’d</w:t>
      </w:r>
      <w:proofErr w:type="spellEnd"/>
      <w:r w:rsidRPr="00201C83" w:rsidR="00D777AA">
        <w:rPr>
          <w:i/>
          <w:iCs/>
          <w:color w:val="000000" w:themeColor="text1"/>
        </w:rPr>
        <w:t xml:space="preserve"> on ot</w:t>
      </w:r>
      <w:r w:rsidR="00730A22">
        <w:rPr>
          <w:i/>
          <w:iCs/>
          <w:color w:val="000000" w:themeColor="text1"/>
        </w:rPr>
        <w:t>her</w:t>
      </w:r>
      <w:r w:rsidRPr="00201C83" w:rsidR="00EE57F6">
        <w:rPr>
          <w:i/>
          <w:iCs/>
          <w:color w:val="000000" w:themeColor="text1"/>
        </w:rPr>
        <w:t xml:space="preserve"> </w:t>
      </w:r>
      <w:r w:rsidRPr="00201C83" w:rsidR="00D777AA">
        <w:rPr>
          <w:i/>
          <w:iCs/>
          <w:color w:val="000000" w:themeColor="text1"/>
        </w:rPr>
        <w:t>her grounds</w:t>
      </w:r>
      <w:r w:rsidRPr="00201C83" w:rsidR="00D777AA">
        <w:rPr>
          <w:color w:val="000000" w:themeColor="text1"/>
        </w:rPr>
        <w:t xml:space="preserve">, </w:t>
      </w:r>
      <w:r w:rsidRPr="00201C83" w:rsidR="00D777AA">
        <w:rPr>
          <w:i/>
          <w:iCs/>
          <w:color w:val="000000" w:themeColor="text1"/>
        </w:rPr>
        <w:t>Pickering v. Gonzales</w:t>
      </w:r>
      <w:r w:rsidRPr="00201C83" w:rsidR="00D777AA">
        <w:rPr>
          <w:color w:val="000000" w:themeColor="text1"/>
        </w:rPr>
        <w:t>, 465 F.3d 263 (6th Cir. 2006</w:t>
      </w:r>
      <w:r w:rsidRPr="00201C83" w:rsidR="009653A6">
        <w:rPr>
          <w:color w:val="000000" w:themeColor="text1"/>
        </w:rPr>
        <w:t>).</w:t>
      </w:r>
      <w:r w:rsidRPr="00201C83" w:rsidR="009653A6">
        <w:rPr>
          <w:rStyle w:val="FootnoteReference"/>
          <w:color w:val="000000" w:themeColor="text1"/>
        </w:rPr>
        <w:t xml:space="preserve"> </w:t>
      </w:r>
      <w:r w:rsidRPr="00201C83" w:rsidR="002D3D23">
        <w:rPr>
          <w:color w:val="000000" w:themeColor="text1"/>
        </w:rPr>
        <w:t xml:space="preserve">The Board and the Attorney General subsequently reiterated this distinction. </w:t>
      </w:r>
      <w:r w:rsidRPr="00201C83" w:rsidR="00E13911">
        <w:rPr>
          <w:i/>
          <w:iCs/>
          <w:color w:val="000000" w:themeColor="text1"/>
        </w:rPr>
        <w:t>See</w:t>
      </w:r>
      <w:r w:rsidRPr="00201C83" w:rsidR="00E13911">
        <w:rPr>
          <w:color w:val="000000" w:themeColor="text1"/>
        </w:rPr>
        <w:t xml:space="preserve"> </w:t>
      </w:r>
      <w:r w:rsidRPr="00201C83" w:rsidR="00773DE8">
        <w:rPr>
          <w:i/>
          <w:iCs/>
          <w:color w:val="000000" w:themeColor="text1"/>
        </w:rPr>
        <w:t xml:space="preserve">Matter of </w:t>
      </w:r>
      <w:proofErr w:type="spellStart"/>
      <w:r w:rsidRPr="00201C83" w:rsidR="00773DE8">
        <w:rPr>
          <w:i/>
          <w:iCs/>
          <w:color w:val="000000" w:themeColor="text1"/>
        </w:rPr>
        <w:t>Adamiak</w:t>
      </w:r>
      <w:proofErr w:type="spellEnd"/>
      <w:r w:rsidRPr="00201C83" w:rsidR="00773DE8">
        <w:rPr>
          <w:color w:val="000000" w:themeColor="text1"/>
        </w:rPr>
        <w:t>, 23 I&amp;N Dec.</w:t>
      </w:r>
      <w:r w:rsidRPr="00201C83" w:rsidR="00B11D3F">
        <w:rPr>
          <w:color w:val="000000" w:themeColor="text1"/>
        </w:rPr>
        <w:t xml:space="preserve"> </w:t>
      </w:r>
      <w:r w:rsidRPr="00201C83" w:rsidR="00773DE8">
        <w:rPr>
          <w:color w:val="000000" w:themeColor="text1"/>
        </w:rPr>
        <w:t>878</w:t>
      </w:r>
      <w:r w:rsidRPr="00201C83" w:rsidR="007B0454">
        <w:rPr>
          <w:color w:val="000000" w:themeColor="text1"/>
        </w:rPr>
        <w:t>, 8</w:t>
      </w:r>
      <w:r w:rsidR="00B36D93">
        <w:rPr>
          <w:color w:val="000000" w:themeColor="text1"/>
        </w:rPr>
        <w:t>79</w:t>
      </w:r>
      <w:r w:rsidRPr="00201C83" w:rsidR="00773DE8">
        <w:rPr>
          <w:color w:val="000000" w:themeColor="text1"/>
        </w:rPr>
        <w:t xml:space="preserve"> (BIA </w:t>
      </w:r>
      <w:r w:rsidRPr="00201C83" w:rsidR="00B11D3F">
        <w:rPr>
          <w:color w:val="000000" w:themeColor="text1"/>
        </w:rPr>
        <w:t>2</w:t>
      </w:r>
      <w:r w:rsidRPr="00201C83" w:rsidR="00773DE8">
        <w:rPr>
          <w:color w:val="000000" w:themeColor="text1"/>
        </w:rPr>
        <w:t>006)</w:t>
      </w:r>
      <w:r w:rsidRPr="00201C83" w:rsidR="00B257C0">
        <w:rPr>
          <w:color w:val="000000" w:themeColor="text1"/>
        </w:rPr>
        <w:t xml:space="preserve"> (</w:t>
      </w:r>
      <w:r w:rsidRPr="00201C83" w:rsidR="00835390">
        <w:rPr>
          <w:color w:val="000000" w:themeColor="text1"/>
        </w:rPr>
        <w:t>applying</w:t>
      </w:r>
      <w:r w:rsidRPr="00201C83" w:rsidR="000513C5">
        <w:rPr>
          <w:color w:val="000000" w:themeColor="text1"/>
        </w:rPr>
        <w:t xml:space="preserve"> </w:t>
      </w:r>
      <w:r w:rsidRPr="00201C83" w:rsidR="000513C5">
        <w:rPr>
          <w:i/>
          <w:color w:val="000000" w:themeColor="text1"/>
        </w:rPr>
        <w:t>Pickering</w:t>
      </w:r>
      <w:r w:rsidRPr="00201C83" w:rsidR="000513C5">
        <w:rPr>
          <w:color w:val="000000" w:themeColor="text1"/>
        </w:rPr>
        <w:t>’s distinction between vacatur based on “post-conviction events, such as rehabilitation” and vacatur based on defect in underlying proceeding</w:t>
      </w:r>
      <w:r w:rsidR="00B36D93">
        <w:rPr>
          <w:color w:val="000000" w:themeColor="text1"/>
        </w:rPr>
        <w:t>s</w:t>
      </w:r>
      <w:r w:rsidRPr="00201C83" w:rsidR="00B257C0">
        <w:rPr>
          <w:color w:val="000000" w:themeColor="text1"/>
        </w:rPr>
        <w:t>)</w:t>
      </w:r>
      <w:r w:rsidRPr="00201C83" w:rsidR="00773DE8">
        <w:rPr>
          <w:color w:val="000000" w:themeColor="text1"/>
        </w:rPr>
        <w:t xml:space="preserve">; </w:t>
      </w:r>
      <w:r w:rsidRPr="00201C83" w:rsidR="00E13911">
        <w:rPr>
          <w:i/>
          <w:iCs/>
          <w:color w:val="000000" w:themeColor="text1"/>
        </w:rPr>
        <w:t>Matter of Marroquin-Garcia</w:t>
      </w:r>
      <w:r w:rsidRPr="00201C83" w:rsidR="00E13911">
        <w:rPr>
          <w:color w:val="000000" w:themeColor="text1"/>
        </w:rPr>
        <w:t xml:space="preserve">, </w:t>
      </w:r>
      <w:r w:rsidRPr="00201C83" w:rsidR="00773DE8">
        <w:rPr>
          <w:color w:val="000000" w:themeColor="text1"/>
        </w:rPr>
        <w:t>23 I&amp;N Dec. 705</w:t>
      </w:r>
      <w:r w:rsidRPr="00201C83" w:rsidR="00D51784">
        <w:rPr>
          <w:color w:val="000000" w:themeColor="text1"/>
        </w:rPr>
        <w:t xml:space="preserve">, </w:t>
      </w:r>
      <w:r w:rsidRPr="00201C83" w:rsidR="00991AB5">
        <w:rPr>
          <w:color w:val="000000" w:themeColor="text1"/>
        </w:rPr>
        <w:t>708</w:t>
      </w:r>
      <w:r w:rsidRPr="003F2D98" w:rsidR="002160DE">
        <w:rPr>
          <w:color w:val="000000" w:themeColor="text1"/>
        </w:rPr>
        <w:t>–</w:t>
      </w:r>
      <w:r w:rsidRPr="00201C83" w:rsidR="00991AB5">
        <w:rPr>
          <w:color w:val="000000" w:themeColor="text1"/>
        </w:rPr>
        <w:t xml:space="preserve">13 </w:t>
      </w:r>
      <w:r w:rsidRPr="00201C83" w:rsidR="00773DE8">
        <w:rPr>
          <w:color w:val="000000" w:themeColor="text1"/>
        </w:rPr>
        <w:t>(</w:t>
      </w:r>
      <w:r w:rsidRPr="00201C83" w:rsidR="006E5B6C">
        <w:rPr>
          <w:color w:val="000000" w:themeColor="text1"/>
        </w:rPr>
        <w:t>AG</w:t>
      </w:r>
      <w:r w:rsidRPr="00201C83" w:rsidR="00773DE8">
        <w:rPr>
          <w:color w:val="000000" w:themeColor="text1"/>
        </w:rPr>
        <w:t xml:space="preserve"> 2005).</w:t>
      </w:r>
      <w:r w:rsidRPr="003358C0" w:rsidR="00012C17">
        <w:rPr>
          <w:color w:val="000000" w:themeColor="text1"/>
        </w:rPr>
        <w:t xml:space="preserve"> </w:t>
      </w:r>
    </w:p>
    <w:p w:rsidRPr="003358C0" w:rsidR="009D6289" w:rsidP="004838D7" w:rsidRDefault="005C0ADC" w14:paraId="650A5EF1" w14:textId="6C6426A6">
      <w:pPr>
        <w:rPr>
          <w:color w:val="000000" w:themeColor="text1"/>
        </w:rPr>
      </w:pPr>
      <w:r w:rsidRPr="00201C83">
        <w:rPr>
          <w:i/>
          <w:iCs/>
          <w:color w:val="000000" w:themeColor="text1"/>
        </w:rPr>
        <w:tab/>
      </w:r>
    </w:p>
    <w:p w:rsidRPr="005C0046" w:rsidR="006D6CF4" w:rsidP="00E554C3" w:rsidRDefault="00D273B9" w14:paraId="303F3A8C" w14:textId="71B477D2">
      <w:pPr>
        <w:pStyle w:val="Heading2"/>
      </w:pPr>
      <w:bookmarkStart w:name="_Toc103585903" w:id="4"/>
      <w:r>
        <w:t xml:space="preserve">     </w:t>
      </w:r>
      <w:r w:rsidRPr="00201C83" w:rsidR="00D72F8D">
        <w:t>T</w:t>
      </w:r>
      <w:r w:rsidRPr="00201C83" w:rsidR="6188A9B1">
        <w:t xml:space="preserve">he </w:t>
      </w:r>
      <w:r w:rsidRPr="00201C83" w:rsidR="00D72F8D">
        <w:t xml:space="preserve">Plain Text of </w:t>
      </w:r>
      <w:r w:rsidR="00DD4108">
        <w:t>t</w:t>
      </w:r>
      <w:r w:rsidRPr="00201C83" w:rsidR="00D72F8D">
        <w:t xml:space="preserve">he </w:t>
      </w:r>
      <w:r w:rsidRPr="00201C83" w:rsidR="00C41B83">
        <w:t xml:space="preserve">INA </w:t>
      </w:r>
      <w:r w:rsidRPr="00201C83" w:rsidR="00D72F8D">
        <w:t>Conviction Definition Unambiguously Does Not Include Vacated or Expunged Convictions.</w:t>
      </w:r>
      <w:bookmarkEnd w:id="4"/>
    </w:p>
    <w:p w:rsidR="00A65023" w:rsidP="00A65023" w:rsidRDefault="00A65023" w14:paraId="5C73B4EC" w14:textId="7D131D5C">
      <w:pPr>
        <w:ind w:left="360"/>
        <w:rPr>
          <w:bCs/>
          <w:color w:val="000000" w:themeColor="text1"/>
        </w:rPr>
      </w:pPr>
    </w:p>
    <w:p w:rsidR="00A65023" w:rsidP="00A65023" w:rsidRDefault="00A65023" w14:paraId="4B7CFED0" w14:textId="624BB389">
      <w:pPr>
        <w:ind w:firstLine="720"/>
        <w:rPr>
          <w:bCs/>
          <w:color w:val="000000" w:themeColor="text1"/>
        </w:rPr>
      </w:pPr>
      <w:r w:rsidRPr="00201C83">
        <w:rPr>
          <w:bCs/>
          <w:color w:val="000000" w:themeColor="text1"/>
        </w:rPr>
        <w:t>The text of the conviction definition, § 101(a)(48)(A), defines two categories of convictions: (1) formal judgments of guilt and (2)</w:t>
      </w:r>
      <w:r w:rsidRPr="00201C83">
        <w:rPr>
          <w:bCs/>
          <w:i/>
          <w:iCs/>
          <w:color w:val="000000" w:themeColor="text1"/>
        </w:rPr>
        <w:t xml:space="preserve"> </w:t>
      </w:r>
      <w:r w:rsidRPr="00201C83">
        <w:rPr>
          <w:bCs/>
          <w:color w:val="000000" w:themeColor="text1"/>
        </w:rPr>
        <w:t>certain withheld adjudications. INA §</w:t>
      </w:r>
      <w:r w:rsidR="00303DD8">
        <w:rPr>
          <w:bCs/>
          <w:color w:val="000000" w:themeColor="text1"/>
        </w:rPr>
        <w:t> </w:t>
      </w:r>
      <w:r w:rsidRPr="00201C83">
        <w:rPr>
          <w:bCs/>
          <w:color w:val="000000" w:themeColor="text1"/>
        </w:rPr>
        <w:t>101(a)(48)(A). The definition does not include</w:t>
      </w:r>
      <w:r>
        <w:rPr>
          <w:bCs/>
          <w:color w:val="000000" w:themeColor="text1"/>
        </w:rPr>
        <w:t xml:space="preserve"> any language referring to prior</w:t>
      </w:r>
      <w:r w:rsidRPr="00201C83">
        <w:rPr>
          <w:bCs/>
          <w:color w:val="000000" w:themeColor="text1"/>
        </w:rPr>
        <w:t xml:space="preserve"> convictions that have been eliminated through </w:t>
      </w:r>
      <w:r w:rsidRPr="00201C83">
        <w:rPr>
          <w:bCs/>
          <w:iCs/>
          <w:color w:val="000000" w:themeColor="text1"/>
        </w:rPr>
        <w:t>post</w:t>
      </w:r>
      <w:r w:rsidRPr="00201C83">
        <w:rPr>
          <w:bCs/>
          <w:color w:val="000000" w:themeColor="text1"/>
        </w:rPr>
        <w:t>-conviction relief</w:t>
      </w:r>
      <w:r>
        <w:rPr>
          <w:bCs/>
          <w:color w:val="000000" w:themeColor="text1"/>
        </w:rPr>
        <w:t>,</w:t>
      </w:r>
      <w:r w:rsidRPr="00201C83">
        <w:rPr>
          <w:bCs/>
          <w:color w:val="000000" w:themeColor="text1"/>
        </w:rPr>
        <w:t xml:space="preserve"> such as vacatur or expungement, much less include any language expressly providing </w:t>
      </w:r>
      <w:proofErr w:type="gramStart"/>
      <w:r w:rsidRPr="00201C83">
        <w:rPr>
          <w:bCs/>
          <w:color w:val="000000" w:themeColor="text1"/>
        </w:rPr>
        <w:t>that convictions</w:t>
      </w:r>
      <w:proofErr w:type="gramEnd"/>
      <w:r w:rsidRPr="00201C83">
        <w:rPr>
          <w:bCs/>
          <w:color w:val="000000" w:themeColor="text1"/>
        </w:rPr>
        <w:t xml:space="preserve"> that no longer exist may continue to be deemed convictions for immigration purposes. </w:t>
      </w:r>
      <w:r w:rsidRPr="00201C83">
        <w:rPr>
          <w:bCs/>
          <w:i/>
          <w:iCs/>
          <w:color w:val="000000" w:themeColor="text1"/>
        </w:rPr>
        <w:t>See</w:t>
      </w:r>
      <w:r w:rsidRPr="00201C83">
        <w:rPr>
          <w:bCs/>
          <w:color w:val="000000" w:themeColor="text1"/>
        </w:rPr>
        <w:t xml:space="preserve"> </w:t>
      </w:r>
      <w:proofErr w:type="gramStart"/>
      <w:r w:rsidRPr="00201C83">
        <w:rPr>
          <w:bCs/>
          <w:i/>
          <w:iCs/>
          <w:color w:val="000000" w:themeColor="text1"/>
        </w:rPr>
        <w:t>supra</w:t>
      </w:r>
      <w:r w:rsidRPr="00201C83">
        <w:rPr>
          <w:bCs/>
          <w:color w:val="000000" w:themeColor="text1"/>
        </w:rPr>
        <w:t xml:space="preserve"> </w:t>
      </w:r>
      <w:r w:rsidRPr="00DC3BF0">
        <w:rPr>
          <w:bCs/>
          <w:color w:val="000000" w:themeColor="text1"/>
        </w:rPr>
        <w:t>Section</w:t>
      </w:r>
      <w:proofErr w:type="gramEnd"/>
      <w:r w:rsidRPr="00DC3BF0">
        <w:rPr>
          <w:bCs/>
          <w:color w:val="000000" w:themeColor="text1"/>
        </w:rPr>
        <w:t xml:space="preserve"> I.</w:t>
      </w:r>
      <w:r w:rsidRPr="003358C0">
        <w:rPr>
          <w:color w:val="000000" w:themeColor="text1"/>
          <w:shd w:val="clear" w:color="auto" w:fill="FFFFFF"/>
        </w:rPr>
        <w:t xml:space="preserve"> </w:t>
      </w:r>
      <w:r>
        <w:rPr>
          <w:color w:val="000000" w:themeColor="text1"/>
          <w:shd w:val="clear" w:color="auto" w:fill="FFFFFF"/>
        </w:rPr>
        <w:t xml:space="preserve">Rather, a formal judgment of guilt or other prior disposition that has since been </w:t>
      </w:r>
      <w:r w:rsidRPr="003358C0">
        <w:rPr>
          <w:color w:val="000000" w:themeColor="text1"/>
          <w:shd w:val="clear" w:color="auto" w:fill="FFFFFF"/>
        </w:rPr>
        <w:t>vacat</w:t>
      </w:r>
      <w:r>
        <w:rPr>
          <w:color w:val="000000" w:themeColor="text1"/>
          <w:shd w:val="clear" w:color="auto" w:fill="FFFFFF"/>
        </w:rPr>
        <w:t>ed</w:t>
      </w:r>
      <w:r w:rsidRPr="003358C0">
        <w:rPr>
          <w:color w:val="000000" w:themeColor="text1"/>
          <w:shd w:val="clear" w:color="auto" w:fill="FFFFFF"/>
        </w:rPr>
        <w:t xml:space="preserve"> or expunged signif</w:t>
      </w:r>
      <w:r>
        <w:rPr>
          <w:color w:val="000000" w:themeColor="text1"/>
          <w:shd w:val="clear" w:color="auto" w:fill="FFFFFF"/>
        </w:rPr>
        <w:t xml:space="preserve">ies </w:t>
      </w:r>
      <w:r w:rsidRPr="003358C0">
        <w:rPr>
          <w:color w:val="000000" w:themeColor="text1"/>
          <w:shd w:val="clear" w:color="auto" w:fill="FFFFFF"/>
        </w:rPr>
        <w:t>the </w:t>
      </w:r>
      <w:r w:rsidRPr="003358C0">
        <w:rPr>
          <w:i/>
          <w:iCs/>
          <w:color w:val="000000" w:themeColor="text1"/>
          <w:shd w:val="clear" w:color="auto" w:fill="FFFFFF"/>
        </w:rPr>
        <w:t>absence</w:t>
      </w:r>
      <w:r w:rsidRPr="003358C0">
        <w:rPr>
          <w:color w:val="000000" w:themeColor="text1"/>
          <w:shd w:val="clear" w:color="auto" w:fill="FFFFFF"/>
        </w:rPr>
        <w:t> of a</w:t>
      </w:r>
      <w:r>
        <w:rPr>
          <w:color w:val="000000" w:themeColor="text1"/>
          <w:shd w:val="clear" w:color="auto" w:fill="FFFFFF"/>
        </w:rPr>
        <w:t>ny</w:t>
      </w:r>
      <w:r w:rsidRPr="003358C0">
        <w:rPr>
          <w:color w:val="000000" w:themeColor="text1"/>
          <w:shd w:val="clear" w:color="auto" w:fill="FFFFFF"/>
        </w:rPr>
        <w:t xml:space="preserve"> conviction (the prior </w:t>
      </w:r>
      <w:r>
        <w:rPr>
          <w:color w:val="000000" w:themeColor="text1"/>
          <w:shd w:val="clear" w:color="auto" w:fill="FFFFFF"/>
        </w:rPr>
        <w:t>disposition</w:t>
      </w:r>
      <w:r w:rsidRPr="003358C0">
        <w:rPr>
          <w:color w:val="000000" w:themeColor="text1"/>
          <w:shd w:val="clear" w:color="auto" w:fill="FFFFFF"/>
        </w:rPr>
        <w:t xml:space="preserve"> having been eliminated).</w:t>
      </w:r>
      <w:r>
        <w:rPr>
          <w:color w:val="000000" w:themeColor="text1"/>
          <w:shd w:val="clear" w:color="auto" w:fill="FFFFFF"/>
        </w:rPr>
        <w:t xml:space="preserve"> This is the only reading consistent with how Black’s Law Dictionary—the preeminent authority for the meaning of legal terminology—understood these terms of art at the time that Congress enacted the “conviction” definition. </w:t>
      </w:r>
      <w:r>
        <w:rPr>
          <w:bCs/>
          <w:i/>
          <w:iCs/>
          <w:color w:val="000000" w:themeColor="text1"/>
        </w:rPr>
        <w:t xml:space="preserve">Cf. </w:t>
      </w:r>
      <w:r w:rsidRPr="008B4DEC">
        <w:rPr>
          <w:bCs/>
          <w:i/>
          <w:iCs/>
          <w:color w:val="000000" w:themeColor="text1"/>
        </w:rPr>
        <w:t>Esquivel-Quintana v. Sessions</w:t>
      </w:r>
      <w:r w:rsidRPr="00DC5CD3">
        <w:rPr>
          <w:bCs/>
          <w:color w:val="000000" w:themeColor="text1"/>
        </w:rPr>
        <w:t>, 137 S. Ct. 1562, 1569 (2017)</w:t>
      </w:r>
      <w:r>
        <w:rPr>
          <w:bCs/>
          <w:color w:val="000000" w:themeColor="text1"/>
        </w:rPr>
        <w:t xml:space="preserve"> (consulting “reliable dictionaries,” such as Black’s, to identify statutory meaning).</w:t>
      </w:r>
      <w:r>
        <w:rPr>
          <w:color w:val="000000" w:themeColor="text1"/>
          <w:shd w:val="clear" w:color="auto" w:fill="FFFFFF"/>
        </w:rPr>
        <w:t xml:space="preserve"> In its edition in circulation in 1996, Black’s identified the meaning of the term “</w:t>
      </w:r>
      <w:r w:rsidRPr="00F70518">
        <w:rPr>
          <w:bCs/>
          <w:color w:val="000000" w:themeColor="text1"/>
        </w:rPr>
        <w:t>judgment</w:t>
      </w:r>
      <w:r>
        <w:rPr>
          <w:bCs/>
          <w:color w:val="000000" w:themeColor="text1"/>
        </w:rPr>
        <w:t xml:space="preserve">” as: </w:t>
      </w:r>
    </w:p>
    <w:p w:rsidR="00A65023" w:rsidP="00A65023" w:rsidRDefault="00A65023" w14:paraId="15485B24" w14:textId="77777777">
      <w:pPr>
        <w:ind w:firstLine="720"/>
        <w:rPr>
          <w:bCs/>
          <w:color w:val="000000" w:themeColor="text1"/>
        </w:rPr>
      </w:pPr>
    </w:p>
    <w:p w:rsidR="00A65023" w:rsidP="00A65023" w:rsidRDefault="00A65023" w14:paraId="13DD24EF" w14:textId="77777777">
      <w:pPr>
        <w:ind w:left="720" w:right="720"/>
        <w:jc w:val="both"/>
        <w:rPr>
          <w:color w:val="000000" w:themeColor="text1"/>
          <w:shd w:val="clear" w:color="auto" w:fill="FFFFFF"/>
        </w:rPr>
      </w:pPr>
      <w:r>
        <w:rPr>
          <w:bCs/>
          <w:color w:val="000000" w:themeColor="text1"/>
        </w:rPr>
        <w:t>T</w:t>
      </w:r>
      <w:r>
        <w:rPr>
          <w:bCs/>
        </w:rPr>
        <w:t xml:space="preserve">he </w:t>
      </w:r>
      <w:r w:rsidRPr="003F2D98">
        <w:rPr>
          <w:bCs/>
        </w:rPr>
        <w:t>final</w:t>
      </w:r>
      <w:r>
        <w:rPr>
          <w:bCs/>
        </w:rPr>
        <w:t xml:space="preserve"> decision of the court resolving the dispute and determining the rights and obligations of the parties. The law’s last word in a judicial controversy, it being the final determination by a court of the rights of the parties upon matters submitted to it in an action or proceeding.</w:t>
      </w:r>
    </w:p>
    <w:p w:rsidR="00A65023" w:rsidP="00A65023" w:rsidRDefault="00A65023" w14:paraId="25DEA8C9" w14:textId="77777777">
      <w:pPr>
        <w:rPr>
          <w:color w:val="000000" w:themeColor="text1"/>
          <w:shd w:val="clear" w:color="auto" w:fill="FFFFFF"/>
        </w:rPr>
      </w:pPr>
    </w:p>
    <w:p w:rsidR="00A65023" w:rsidP="00A65023" w:rsidRDefault="00A65023" w14:paraId="69FDF731" w14:textId="2367B702">
      <w:pPr>
        <w:rPr>
          <w:bCs/>
          <w:color w:val="000000" w:themeColor="text1"/>
        </w:rPr>
      </w:pPr>
      <w:r w:rsidRPr="00201C83">
        <w:rPr>
          <w:bCs/>
          <w:smallCaps/>
          <w:color w:val="000000" w:themeColor="text1"/>
        </w:rPr>
        <w:lastRenderedPageBreak/>
        <w:t>Black’s Law Dictionary</w:t>
      </w:r>
      <w:r w:rsidR="00CB7A67">
        <w:rPr>
          <w:bCs/>
          <w:smallCaps/>
          <w:color w:val="000000" w:themeColor="text1"/>
        </w:rPr>
        <w:t xml:space="preserve"> 841-42</w:t>
      </w:r>
      <w:r w:rsidRPr="00201C83">
        <w:rPr>
          <w:bCs/>
          <w:color w:val="000000" w:themeColor="text1"/>
        </w:rPr>
        <w:t xml:space="preserve"> (</w:t>
      </w:r>
      <w:r>
        <w:rPr>
          <w:bCs/>
          <w:color w:val="000000" w:themeColor="text1"/>
        </w:rPr>
        <w:t>6</w:t>
      </w:r>
      <w:r w:rsidRPr="00201C83">
        <w:rPr>
          <w:bCs/>
          <w:color w:val="000000" w:themeColor="text1"/>
        </w:rPr>
        <w:t xml:space="preserve">th ed. </w:t>
      </w:r>
      <w:r>
        <w:rPr>
          <w:bCs/>
          <w:color w:val="000000" w:themeColor="text1"/>
        </w:rPr>
        <w:t>1990</w:t>
      </w:r>
      <w:r w:rsidRPr="00201C83">
        <w:rPr>
          <w:bCs/>
          <w:color w:val="000000" w:themeColor="text1"/>
        </w:rPr>
        <w:t>)</w:t>
      </w:r>
      <w:r>
        <w:rPr>
          <w:bCs/>
          <w:color w:val="000000" w:themeColor="text1"/>
        </w:rPr>
        <w:t xml:space="preserve">. It is unambiguous that a formal judgment that has been vacated is not the final decision of the court, nor is it the last word in a judicial controversy, nor is it the final determination of the court—by definition, a vacated judgment has been superseded by a subsequent judgment. </w:t>
      </w:r>
      <w:proofErr w:type="gramStart"/>
      <w:r>
        <w:rPr>
          <w:bCs/>
          <w:color w:val="000000" w:themeColor="text1"/>
        </w:rPr>
        <w:t>Black’s</w:t>
      </w:r>
      <w:proofErr w:type="gramEnd"/>
      <w:r>
        <w:rPr>
          <w:bCs/>
          <w:color w:val="000000" w:themeColor="text1"/>
        </w:rPr>
        <w:t xml:space="preserve"> identified that “vacate” means, </w:t>
      </w:r>
      <w:r w:rsidRPr="00201C83">
        <w:rPr>
          <w:bCs/>
          <w:color w:val="000000" w:themeColor="text1"/>
        </w:rPr>
        <w:t>“</w:t>
      </w:r>
      <w:r>
        <w:rPr>
          <w:bCs/>
          <w:color w:val="000000" w:themeColor="text1"/>
        </w:rPr>
        <w:t>To render an act void; as, to vacate an entry of record, or a judgment,</w:t>
      </w:r>
      <w:r w:rsidRPr="00201C83">
        <w:rPr>
          <w:bCs/>
          <w:color w:val="000000" w:themeColor="text1"/>
        </w:rPr>
        <w:t>”</w:t>
      </w:r>
      <w:r>
        <w:rPr>
          <w:bCs/>
          <w:color w:val="000000" w:themeColor="text1"/>
        </w:rPr>
        <w:t xml:space="preserve"> </w:t>
      </w:r>
      <w:r>
        <w:rPr>
          <w:bCs/>
          <w:i/>
          <w:iCs/>
          <w:color w:val="000000" w:themeColor="text1"/>
        </w:rPr>
        <w:t>id.</w:t>
      </w:r>
      <w:r>
        <w:rPr>
          <w:bCs/>
          <w:color w:val="000000" w:themeColor="text1"/>
        </w:rPr>
        <w:t xml:space="preserve"> at</w:t>
      </w:r>
      <w:r w:rsidR="00CB7A67">
        <w:rPr>
          <w:bCs/>
          <w:color w:val="000000" w:themeColor="text1"/>
        </w:rPr>
        <w:t xml:space="preserve"> 1548</w:t>
      </w:r>
      <w:r>
        <w:rPr>
          <w:bCs/>
          <w:color w:val="000000" w:themeColor="text1"/>
        </w:rPr>
        <w:t>, and that “e</w:t>
      </w:r>
      <w:r w:rsidRPr="00F70518">
        <w:rPr>
          <w:bCs/>
          <w:color w:val="000000" w:themeColor="text1"/>
        </w:rPr>
        <w:t>xpunge</w:t>
      </w:r>
      <w:r>
        <w:rPr>
          <w:bCs/>
          <w:color w:val="000000" w:themeColor="text1"/>
        </w:rPr>
        <w:t>”</w:t>
      </w:r>
      <w:r w:rsidRPr="00201C83">
        <w:rPr>
          <w:bCs/>
          <w:color w:val="000000" w:themeColor="text1"/>
        </w:rPr>
        <w:t xml:space="preserve"> </w:t>
      </w:r>
      <w:r>
        <w:rPr>
          <w:bCs/>
          <w:color w:val="000000" w:themeColor="text1"/>
        </w:rPr>
        <w:t xml:space="preserve">means, </w:t>
      </w:r>
      <w:r w:rsidRPr="00201C83">
        <w:rPr>
          <w:bCs/>
          <w:color w:val="000000" w:themeColor="text1"/>
        </w:rPr>
        <w:t>“</w:t>
      </w:r>
      <w:r>
        <w:rPr>
          <w:bCs/>
        </w:rPr>
        <w:t>To destroy; blot out; obliterate; erase; efface designedly; strike out wholly. The act of physically destroying information—including criminal records—in files, computers, or other depositories.</w:t>
      </w:r>
      <w:r w:rsidRPr="00201C83">
        <w:rPr>
          <w:bCs/>
          <w:color w:val="000000" w:themeColor="text1"/>
        </w:rPr>
        <w:t>”</w:t>
      </w:r>
      <w:r>
        <w:rPr>
          <w:bCs/>
          <w:color w:val="000000" w:themeColor="text1"/>
        </w:rPr>
        <w:t xml:space="preserve"> </w:t>
      </w:r>
      <w:r>
        <w:rPr>
          <w:bCs/>
          <w:i/>
          <w:iCs/>
          <w:color w:val="000000" w:themeColor="text1"/>
        </w:rPr>
        <w:t>Id.</w:t>
      </w:r>
      <w:r>
        <w:rPr>
          <w:bCs/>
          <w:color w:val="000000" w:themeColor="text1"/>
        </w:rPr>
        <w:t xml:space="preserve"> at</w:t>
      </w:r>
      <w:r w:rsidR="00CB7A67">
        <w:rPr>
          <w:bCs/>
          <w:color w:val="000000" w:themeColor="text1"/>
        </w:rPr>
        <w:t xml:space="preserve"> 582</w:t>
      </w:r>
      <w:r>
        <w:rPr>
          <w:bCs/>
          <w:color w:val="000000" w:themeColor="text1"/>
        </w:rPr>
        <w:t>.</w:t>
      </w:r>
      <w:r>
        <w:rPr>
          <w:rStyle w:val="FootnoteReference"/>
          <w:bCs/>
          <w:color w:val="000000" w:themeColor="text1"/>
        </w:rPr>
        <w:footnoteReference w:id="1"/>
      </w:r>
      <w:r w:rsidRPr="00201C83">
        <w:rPr>
          <w:bCs/>
          <w:color w:val="000000" w:themeColor="text1"/>
        </w:rPr>
        <w:t xml:space="preserve"> </w:t>
      </w:r>
      <w:r>
        <w:rPr>
          <w:bCs/>
          <w:color w:val="000000" w:themeColor="text1"/>
        </w:rPr>
        <w:t xml:space="preserve">Prior judgments rendered void are no longer judgments—they are void. Nor are judgments ordered to be destroyed or obliterated—they have been destroyed or obliterated. </w:t>
      </w:r>
    </w:p>
    <w:p w:rsidRPr="00DC5CD3" w:rsidR="00A65023" w:rsidP="00A65023" w:rsidRDefault="00A65023" w14:paraId="4F00FA47" w14:textId="77777777">
      <w:pPr>
        <w:ind w:firstLine="720"/>
        <w:rPr>
          <w:bCs/>
          <w:color w:val="000000" w:themeColor="text1"/>
        </w:rPr>
      </w:pPr>
    </w:p>
    <w:p w:rsidRPr="00E554C3" w:rsidR="002B3C48" w:rsidP="00E554C3" w:rsidRDefault="00A65023" w14:paraId="1ED4073A" w14:textId="12208C2F">
      <w:pPr>
        <w:ind w:firstLine="720"/>
        <w:rPr>
          <w:b/>
          <w:bCs/>
          <w:color w:val="000000" w:themeColor="text1"/>
        </w:rPr>
      </w:pPr>
      <w:r>
        <w:rPr>
          <w:bCs/>
          <w:color w:val="000000" w:themeColor="text1"/>
        </w:rPr>
        <w:t xml:space="preserve">The statute’s meaning is plain: prior convictions eliminated through </w:t>
      </w:r>
      <w:proofErr w:type="gramStart"/>
      <w:r>
        <w:rPr>
          <w:bCs/>
          <w:color w:val="000000" w:themeColor="text1"/>
        </w:rPr>
        <w:t>vacatur</w:t>
      </w:r>
      <w:proofErr w:type="gramEnd"/>
      <w:r>
        <w:rPr>
          <w:bCs/>
          <w:color w:val="000000" w:themeColor="text1"/>
        </w:rPr>
        <w:t xml:space="preserve"> or expungement are not included within the INA’s conviction definition</w:t>
      </w:r>
      <w:r w:rsidRPr="003358C0">
        <w:rPr>
          <w:color w:val="000000" w:themeColor="text1"/>
        </w:rPr>
        <w:t>.</w:t>
      </w:r>
      <w:r>
        <w:rPr>
          <w:color w:val="000000" w:themeColor="text1"/>
        </w:rPr>
        <w:t xml:space="preserve"> </w:t>
      </w:r>
      <w:r>
        <w:rPr>
          <w:bCs/>
          <w:i/>
          <w:iCs/>
          <w:color w:val="000000" w:themeColor="text1"/>
        </w:rPr>
        <w:t xml:space="preserve">Cf. </w:t>
      </w:r>
      <w:proofErr w:type="spellStart"/>
      <w:r w:rsidRPr="003358C0">
        <w:rPr>
          <w:i/>
          <w:iCs/>
          <w:color w:val="000000" w:themeColor="text1"/>
        </w:rPr>
        <w:t>Caminetti</w:t>
      </w:r>
      <w:proofErr w:type="spellEnd"/>
      <w:r w:rsidRPr="003358C0">
        <w:rPr>
          <w:i/>
          <w:iCs/>
          <w:color w:val="000000" w:themeColor="text1"/>
        </w:rPr>
        <w:t xml:space="preserve"> v. United States</w:t>
      </w:r>
      <w:r w:rsidRPr="003358C0">
        <w:rPr>
          <w:color w:val="000000" w:themeColor="text1"/>
        </w:rPr>
        <w:t>, 242 U.S. 470, 485 (1917)</w:t>
      </w:r>
      <w:r w:rsidRPr="00201C83">
        <w:rPr>
          <w:bCs/>
          <w:iCs/>
          <w:color w:val="000000" w:themeColor="text1"/>
        </w:rPr>
        <w:t xml:space="preserve"> (</w:t>
      </w:r>
      <w:r w:rsidRPr="003358C0">
        <w:rPr>
          <w:color w:val="000000" w:themeColor="text1"/>
        </w:rPr>
        <w:t>“It is elementary that the meaning of a statute must, in the first instance, be sought in the language</w:t>
      </w:r>
      <w:r>
        <w:rPr>
          <w:color w:val="000000" w:themeColor="text1"/>
        </w:rPr>
        <w:t xml:space="preserve"> in which the act is framed</w:t>
      </w:r>
      <w:r w:rsidRPr="003358C0">
        <w:rPr>
          <w:color w:val="000000" w:themeColor="text1"/>
        </w:rPr>
        <w:t xml:space="preserve">, and if that is plain </w:t>
      </w:r>
      <w:r>
        <w:rPr>
          <w:color w:val="000000" w:themeColor="text1"/>
        </w:rPr>
        <w:t xml:space="preserve">. . . </w:t>
      </w:r>
      <w:r w:rsidRPr="003358C0">
        <w:rPr>
          <w:color w:val="000000" w:themeColor="text1"/>
        </w:rPr>
        <w:t>the sole function of the courts is to enforce it according to its terms</w:t>
      </w:r>
      <w:r>
        <w:rPr>
          <w:color w:val="000000" w:themeColor="text1"/>
        </w:rPr>
        <w:t xml:space="preserve">.”). Had Congress intended otherwise, it would have used different words in creating the statutory definition. Instead, Congress chose terms that are both commonly and historically understood to exclude dispositions of vacatur and expungement. </w:t>
      </w:r>
      <w:r>
        <w:rPr>
          <w:i/>
          <w:iCs/>
          <w:color w:val="000000" w:themeColor="text1"/>
        </w:rPr>
        <w:t xml:space="preserve">See </w:t>
      </w:r>
      <w:proofErr w:type="gramStart"/>
      <w:r>
        <w:rPr>
          <w:i/>
          <w:iCs/>
          <w:color w:val="000000" w:themeColor="text1"/>
        </w:rPr>
        <w:t>supra</w:t>
      </w:r>
      <w:r>
        <w:rPr>
          <w:color w:val="000000" w:themeColor="text1"/>
        </w:rPr>
        <w:t xml:space="preserve"> Section</w:t>
      </w:r>
      <w:proofErr w:type="gramEnd"/>
      <w:r>
        <w:rPr>
          <w:color w:val="000000" w:themeColor="text1"/>
        </w:rPr>
        <w:t xml:space="preserve"> I. </w:t>
      </w:r>
      <w:r>
        <w:t xml:space="preserve">“If the intent of Congress is clear, that is the end of the matter; for the court, as well as the agency, must give effect to the unambiguously expressed intent of Congress.” </w:t>
      </w:r>
      <w:r w:rsidRPr="00A83BE4">
        <w:rPr>
          <w:i/>
        </w:rPr>
        <w:t>Chevron</w:t>
      </w:r>
      <w:r w:rsidRPr="00A83BE4">
        <w:t xml:space="preserve">, 467 U.S. </w:t>
      </w:r>
      <w:r>
        <w:t>at 842</w:t>
      </w:r>
      <w:r w:rsidRPr="003F2D98" w:rsidR="00566EAC">
        <w:rPr>
          <w:color w:val="000000" w:themeColor="text1"/>
        </w:rPr>
        <w:t>–</w:t>
      </w:r>
      <w:r>
        <w:t>43. That is the case here. It is unambiguous that Congress intended to codify continued deference to state decisions to vacate and expunge prior convictions.</w:t>
      </w:r>
      <w:r w:rsidRPr="003358C0">
        <w:rPr>
          <w:color w:val="000000" w:themeColor="text1"/>
        </w:rPr>
        <w:t xml:space="preserve"> </w:t>
      </w:r>
      <w:r w:rsidRPr="00201C83">
        <w:rPr>
          <w:color w:val="000000" w:themeColor="text1"/>
        </w:rPr>
        <w:t>This reading of the statute is further supported by</w:t>
      </w:r>
      <w:r>
        <w:rPr>
          <w:color w:val="000000" w:themeColor="text1"/>
        </w:rPr>
        <w:t xml:space="preserve"> its legislative history and</w:t>
      </w:r>
      <w:r w:rsidRPr="00201C83">
        <w:rPr>
          <w:color w:val="000000" w:themeColor="text1"/>
        </w:rPr>
        <w:t xml:space="preserve"> applicable statutory construction principles. </w:t>
      </w:r>
      <w:r w:rsidRPr="00201C83">
        <w:rPr>
          <w:i/>
          <w:iCs/>
          <w:color w:val="000000" w:themeColor="text1"/>
        </w:rPr>
        <w:t xml:space="preserve">See infra, </w:t>
      </w:r>
      <w:r w:rsidRPr="00201C83">
        <w:rPr>
          <w:color w:val="000000" w:themeColor="text1"/>
        </w:rPr>
        <w:t>Section</w:t>
      </w:r>
      <w:r>
        <w:rPr>
          <w:color w:val="000000" w:themeColor="text1"/>
        </w:rPr>
        <w:t>s</w:t>
      </w:r>
      <w:r w:rsidRPr="00201C83">
        <w:rPr>
          <w:color w:val="000000" w:themeColor="text1"/>
        </w:rPr>
        <w:t xml:space="preserve"> </w:t>
      </w:r>
      <w:r>
        <w:rPr>
          <w:color w:val="000000" w:themeColor="text1"/>
        </w:rPr>
        <w:t>III</w:t>
      </w:r>
      <w:r w:rsidRPr="003F2D98" w:rsidR="005D7456">
        <w:rPr>
          <w:color w:val="000000" w:themeColor="text1"/>
        </w:rPr>
        <w:t>–</w:t>
      </w:r>
      <w:r w:rsidRPr="00201C83">
        <w:rPr>
          <w:color w:val="000000" w:themeColor="text1"/>
        </w:rPr>
        <w:t>IV.</w:t>
      </w:r>
      <w:r>
        <w:rPr>
          <w:color w:val="000000" w:themeColor="text1"/>
        </w:rPr>
        <w:t xml:space="preserve"> The Board must give effect to Congress’ intent. A</w:t>
      </w:r>
      <w:r>
        <w:t xml:space="preserve">gainst this backdrop, the Board’s inclusion of vacated and expunged judgments in </w:t>
      </w:r>
      <w:r w:rsidRPr="00F70518">
        <w:rPr>
          <w:i/>
          <w:iCs/>
        </w:rPr>
        <w:t>Roldan</w:t>
      </w:r>
      <w:r>
        <w:t xml:space="preserve"> and </w:t>
      </w:r>
      <w:r w:rsidRPr="00F70518">
        <w:rPr>
          <w:i/>
          <w:iCs/>
        </w:rPr>
        <w:t>Pickering</w:t>
      </w:r>
      <w:r>
        <w:t xml:space="preserve"> is an unauthorized expansion of the definition that is contrary to and inconsistent with unambiguous congressional intent.</w:t>
      </w:r>
    </w:p>
    <w:p w:rsidR="008B6EAC" w:rsidP="004838D7" w:rsidRDefault="008B6EAC" w14:paraId="4C654F4D" w14:textId="76493EBA">
      <w:pPr>
        <w:pStyle w:val="ListParagraph"/>
        <w:spacing w:after="0"/>
        <w:rPr>
          <w:rFonts w:eastAsia="Times New Roman" w:cs="Times New Roman"/>
          <w:b w:val="0"/>
          <w:bCs/>
          <w:color w:val="000000" w:themeColor="text1"/>
          <w:szCs w:val="24"/>
        </w:rPr>
      </w:pPr>
    </w:p>
    <w:p w:rsidRPr="00F70518" w:rsidR="00572C0B" w:rsidP="00E554C3" w:rsidRDefault="005D7456" w14:paraId="16B78AB4" w14:textId="66F97C0E">
      <w:pPr>
        <w:pStyle w:val="Heading2"/>
        <w:rPr>
          <w:bCs/>
        </w:rPr>
      </w:pPr>
      <w:bookmarkStart w:name="_Toc103585904" w:id="5"/>
      <w:r>
        <w:t xml:space="preserve">      </w:t>
      </w:r>
      <w:r w:rsidR="00572C0B">
        <w:t>Legislative History Confirms That the INA Conviction Definition Does Not Extend to Vacated or Expunged Convictions.</w:t>
      </w:r>
      <w:bookmarkEnd w:id="5"/>
      <w:r w:rsidR="00572C0B">
        <w:t xml:space="preserve"> </w:t>
      </w:r>
    </w:p>
    <w:p w:rsidRPr="00201C83" w:rsidR="00572C0B" w:rsidP="004838D7" w:rsidRDefault="00572C0B" w14:paraId="72F84BFF" w14:textId="77777777">
      <w:pPr>
        <w:pStyle w:val="ListParagraph"/>
        <w:spacing w:after="0"/>
        <w:rPr>
          <w:rFonts w:eastAsia="Times New Roman" w:cs="Times New Roman"/>
          <w:b w:val="0"/>
          <w:bCs/>
          <w:color w:val="000000" w:themeColor="text1"/>
          <w:szCs w:val="24"/>
        </w:rPr>
      </w:pPr>
    </w:p>
    <w:p w:rsidRPr="00201C83" w:rsidR="008B6EAC" w:rsidP="004838D7" w:rsidRDefault="00CF3E48" w14:paraId="65A012FD" w14:textId="46B30C2E">
      <w:pPr>
        <w:ind w:firstLine="720"/>
        <w:rPr>
          <w:color w:val="000000" w:themeColor="text1"/>
        </w:rPr>
      </w:pPr>
      <w:r w:rsidRPr="003358C0">
        <w:rPr>
          <w:color w:val="000000" w:themeColor="text1"/>
        </w:rPr>
        <w:t xml:space="preserve">The legislative </w:t>
      </w:r>
      <w:r w:rsidRPr="003358C0" w:rsidR="008B6EAC">
        <w:rPr>
          <w:color w:val="000000" w:themeColor="text1"/>
        </w:rPr>
        <w:t xml:space="preserve">history of </w:t>
      </w:r>
      <w:r w:rsidRPr="00201C83" w:rsidR="008B6EAC">
        <w:rPr>
          <w:color w:val="000000" w:themeColor="text1"/>
        </w:rPr>
        <w:t xml:space="preserve">INA § 101(a)(48)(A) </w:t>
      </w:r>
      <w:r w:rsidRPr="00201C83" w:rsidR="0049508A">
        <w:rPr>
          <w:color w:val="000000" w:themeColor="text1"/>
        </w:rPr>
        <w:t>clarifies</w:t>
      </w:r>
      <w:r w:rsidRPr="00201C83" w:rsidR="00B7469A">
        <w:rPr>
          <w:color w:val="000000" w:themeColor="text1"/>
        </w:rPr>
        <w:t xml:space="preserve"> </w:t>
      </w:r>
      <w:r w:rsidRPr="00201C83" w:rsidR="008B6EAC">
        <w:rPr>
          <w:color w:val="000000" w:themeColor="text1"/>
        </w:rPr>
        <w:t>that Congress</w:t>
      </w:r>
      <w:r w:rsidRPr="00201C83" w:rsidR="006137D0">
        <w:rPr>
          <w:color w:val="000000" w:themeColor="text1"/>
        </w:rPr>
        <w:t xml:space="preserve">, </w:t>
      </w:r>
      <w:r w:rsidRPr="00201C83" w:rsidR="008B6EAC">
        <w:rPr>
          <w:color w:val="000000" w:themeColor="text1"/>
        </w:rPr>
        <w:t xml:space="preserve">in codifying </w:t>
      </w:r>
      <w:r w:rsidRPr="003358C0" w:rsidR="008B6EAC">
        <w:rPr>
          <w:color w:val="000000" w:themeColor="text1"/>
        </w:rPr>
        <w:t>the conviction definition</w:t>
      </w:r>
      <w:r w:rsidRPr="003358C0" w:rsidR="006137D0">
        <w:rPr>
          <w:color w:val="000000" w:themeColor="text1"/>
        </w:rPr>
        <w:t>, did not articulate any intent</w:t>
      </w:r>
      <w:r w:rsidRPr="003358C0" w:rsidR="008B6EAC">
        <w:rPr>
          <w:color w:val="000000" w:themeColor="text1"/>
        </w:rPr>
        <w:t xml:space="preserve"> to include vacated and expunged convictions. </w:t>
      </w:r>
      <w:r w:rsidRPr="00201C83" w:rsidR="008B6EAC">
        <w:rPr>
          <w:color w:val="000000" w:themeColor="text1"/>
        </w:rPr>
        <w:t>The Congressional Committee Conference Report accompanying the enactment of §</w:t>
      </w:r>
      <w:r w:rsidR="0011568C">
        <w:rPr>
          <w:color w:val="000000" w:themeColor="text1"/>
        </w:rPr>
        <w:t> </w:t>
      </w:r>
      <w:r w:rsidRPr="00201C83" w:rsidR="008B6EAC">
        <w:rPr>
          <w:color w:val="000000" w:themeColor="text1"/>
        </w:rPr>
        <w:t xml:space="preserve">101(a)(48)(A) </w:t>
      </w:r>
      <w:r w:rsidRPr="00201C83" w:rsidR="00DF44B7">
        <w:rPr>
          <w:color w:val="000000" w:themeColor="text1"/>
        </w:rPr>
        <w:t>shows</w:t>
      </w:r>
      <w:r w:rsidRPr="00201C83" w:rsidR="00A84088">
        <w:rPr>
          <w:color w:val="000000" w:themeColor="text1"/>
        </w:rPr>
        <w:t xml:space="preserve"> that Congress </w:t>
      </w:r>
      <w:r w:rsidRPr="00201C83" w:rsidR="00DF44B7">
        <w:rPr>
          <w:color w:val="000000" w:themeColor="text1"/>
        </w:rPr>
        <w:t>was adopting</w:t>
      </w:r>
      <w:r w:rsidRPr="00201C83" w:rsidR="00A84088">
        <w:rPr>
          <w:color w:val="000000" w:themeColor="text1"/>
        </w:rPr>
        <w:t xml:space="preserve"> </w:t>
      </w:r>
      <w:r w:rsidRPr="00201C83" w:rsidR="00DF44B7">
        <w:rPr>
          <w:color w:val="000000" w:themeColor="text1"/>
        </w:rPr>
        <w:t xml:space="preserve">the </w:t>
      </w:r>
      <w:proofErr w:type="spellStart"/>
      <w:r w:rsidRPr="00201C83" w:rsidR="00A84088">
        <w:rPr>
          <w:i/>
          <w:color w:val="000000" w:themeColor="text1"/>
        </w:rPr>
        <w:t>Ozkok</w:t>
      </w:r>
      <w:proofErr w:type="spellEnd"/>
      <w:r w:rsidRPr="00201C83" w:rsidR="00A84088">
        <w:rPr>
          <w:color w:val="000000" w:themeColor="text1"/>
        </w:rPr>
        <w:t xml:space="preserve"> </w:t>
      </w:r>
      <w:r w:rsidRPr="00201C83" w:rsidR="00DF44B7">
        <w:rPr>
          <w:color w:val="000000" w:themeColor="text1"/>
        </w:rPr>
        <w:t>definition</w:t>
      </w:r>
      <w:r w:rsidRPr="00201C83" w:rsidR="00A84088">
        <w:rPr>
          <w:color w:val="000000" w:themeColor="text1"/>
        </w:rPr>
        <w:t xml:space="preserve"> </w:t>
      </w:r>
      <w:r w:rsidRPr="00201C83" w:rsidR="00DF44B7">
        <w:rPr>
          <w:color w:val="000000" w:themeColor="text1"/>
        </w:rPr>
        <w:t>but wished to</w:t>
      </w:r>
      <w:r w:rsidRPr="00201C83" w:rsidR="00183A7D">
        <w:rPr>
          <w:color w:val="000000" w:themeColor="text1"/>
        </w:rPr>
        <w:t xml:space="preserve"> alter it </w:t>
      </w:r>
      <w:r w:rsidRPr="00201C83" w:rsidR="00183A7D">
        <w:rPr>
          <w:i/>
          <w:iCs/>
          <w:color w:val="000000" w:themeColor="text1"/>
        </w:rPr>
        <w:t>only</w:t>
      </w:r>
      <w:r w:rsidRPr="00201C83" w:rsidR="00183A7D">
        <w:rPr>
          <w:color w:val="000000" w:themeColor="text1"/>
        </w:rPr>
        <w:t xml:space="preserve"> with respect to withheld adjudications by omitting the third prong of </w:t>
      </w:r>
      <w:proofErr w:type="spellStart"/>
      <w:r w:rsidRPr="00201C83" w:rsidR="00183A7D">
        <w:rPr>
          <w:i/>
          <w:iCs/>
          <w:color w:val="000000" w:themeColor="text1"/>
        </w:rPr>
        <w:t>Ozkok</w:t>
      </w:r>
      <w:r w:rsidRPr="00201C83" w:rsidR="00183A7D">
        <w:rPr>
          <w:color w:val="000000" w:themeColor="text1"/>
        </w:rPr>
        <w:t>’s</w:t>
      </w:r>
      <w:proofErr w:type="spellEnd"/>
      <w:r w:rsidRPr="00201C83" w:rsidR="00183A7D">
        <w:rPr>
          <w:color w:val="000000" w:themeColor="text1"/>
        </w:rPr>
        <w:t xml:space="preserve"> tripartite </w:t>
      </w:r>
      <w:r w:rsidRPr="00201C83" w:rsidR="00890BB2">
        <w:rPr>
          <w:color w:val="000000" w:themeColor="text1"/>
        </w:rPr>
        <w:t xml:space="preserve">test for </w:t>
      </w:r>
      <w:r w:rsidRPr="00201C83" w:rsidR="00DF44B7">
        <w:rPr>
          <w:color w:val="000000" w:themeColor="text1"/>
        </w:rPr>
        <w:t>withheld adjudications</w:t>
      </w:r>
      <w:r w:rsidRPr="00201C83" w:rsidR="00890BB2">
        <w:rPr>
          <w:color w:val="000000" w:themeColor="text1"/>
        </w:rPr>
        <w:t>,</w:t>
      </w:r>
      <w:r w:rsidRPr="00201C83" w:rsidR="00527BEE">
        <w:rPr>
          <w:color w:val="000000" w:themeColor="text1"/>
        </w:rPr>
        <w:t xml:space="preserve"> and nothing else</w:t>
      </w:r>
      <w:r w:rsidRPr="00201C83" w:rsidR="00DF44B7">
        <w:rPr>
          <w:color w:val="000000" w:themeColor="text1"/>
        </w:rPr>
        <w:t xml:space="preserve">. The </w:t>
      </w:r>
      <w:r w:rsidR="00F641F8">
        <w:rPr>
          <w:color w:val="000000" w:themeColor="text1"/>
        </w:rPr>
        <w:t xml:space="preserve">Conference </w:t>
      </w:r>
      <w:r w:rsidRPr="00201C83" w:rsidR="00DF44B7">
        <w:rPr>
          <w:color w:val="000000" w:themeColor="text1"/>
        </w:rPr>
        <w:t>Report</w:t>
      </w:r>
      <w:r w:rsidRPr="00201C83" w:rsidR="00A84088">
        <w:rPr>
          <w:color w:val="000000" w:themeColor="text1"/>
        </w:rPr>
        <w:t xml:space="preserve"> </w:t>
      </w:r>
      <w:r w:rsidRPr="00201C83" w:rsidR="005F2629">
        <w:rPr>
          <w:color w:val="000000" w:themeColor="text1"/>
        </w:rPr>
        <w:t xml:space="preserve">in relevant part states </w:t>
      </w:r>
      <w:r w:rsidRPr="00201C83" w:rsidR="0049508A">
        <w:rPr>
          <w:color w:val="000000" w:themeColor="text1"/>
        </w:rPr>
        <w:t>the following:</w:t>
      </w:r>
    </w:p>
    <w:p w:rsidRPr="003358C0" w:rsidR="008B6EAC" w:rsidP="004838D7" w:rsidRDefault="008B6EAC" w14:paraId="7129B6C4" w14:textId="2ABD180E">
      <w:pPr>
        <w:ind w:right="720"/>
        <w:jc w:val="both"/>
        <w:rPr>
          <w:color w:val="000000" w:themeColor="text1"/>
        </w:rPr>
      </w:pPr>
      <w:r w:rsidRPr="00201C83">
        <w:rPr>
          <w:color w:val="000000" w:themeColor="text1"/>
        </w:rPr>
        <w:t xml:space="preserve"> </w:t>
      </w:r>
    </w:p>
    <w:p w:rsidRPr="00201C83" w:rsidR="008B6EAC" w:rsidP="004838D7" w:rsidRDefault="008B6EAC" w14:paraId="68555F35" w14:textId="07BA9CDF">
      <w:pPr>
        <w:ind w:left="720" w:right="720"/>
        <w:jc w:val="both"/>
        <w:rPr>
          <w:color w:val="000000" w:themeColor="text1"/>
        </w:rPr>
      </w:pPr>
      <w:proofErr w:type="spellStart"/>
      <w:r w:rsidRPr="00201C83">
        <w:rPr>
          <w:color w:val="000000" w:themeColor="text1"/>
        </w:rPr>
        <w:t>Ozkok</w:t>
      </w:r>
      <w:proofErr w:type="spellEnd"/>
      <w:r w:rsidRPr="00201C83">
        <w:rPr>
          <w:color w:val="000000" w:themeColor="text1"/>
        </w:rPr>
        <w:t xml:space="preserve">, while making it more difficult for [noncitizen] criminals to escape such consequences, </w:t>
      </w:r>
      <w:r w:rsidRPr="00201C83">
        <w:rPr>
          <w:i/>
          <w:color w:val="000000" w:themeColor="text1"/>
        </w:rPr>
        <w:t xml:space="preserve">does not go far enough to address situations where a judgment of guilt or imposition of sentence is suspended, conditioned upon the [noncitizen]’s </w:t>
      </w:r>
      <w:r w:rsidRPr="00201C83">
        <w:rPr>
          <w:i/>
          <w:color w:val="000000" w:themeColor="text1"/>
        </w:rPr>
        <w:lastRenderedPageBreak/>
        <w:t>future good behavior</w:t>
      </w:r>
      <w:r w:rsidRPr="00201C83">
        <w:rPr>
          <w:color w:val="000000" w:themeColor="text1"/>
        </w:rPr>
        <w:t xml:space="preserve">. For example, the third prong of </w:t>
      </w:r>
      <w:proofErr w:type="spellStart"/>
      <w:r w:rsidRPr="00201C83">
        <w:rPr>
          <w:color w:val="000000" w:themeColor="text1"/>
        </w:rPr>
        <w:t>Ozkok</w:t>
      </w:r>
      <w:proofErr w:type="spellEnd"/>
      <w:r w:rsidRPr="00201C83">
        <w:rPr>
          <w:color w:val="000000" w:themeColor="text1"/>
        </w:rPr>
        <w:t xml:space="preserve"> requires that a judgment or adjudication of guilt may be entered if the [noncitizen] violates a term or condition of probation, without the need for any further proceedings regarding guilt or innocence on the original charge. In some States, adjudication may be “deferred” upon a finding or confession of guilt, and a final judgment of guilt may not be imposed if the </w:t>
      </w:r>
      <w:r w:rsidRPr="00201C83" w:rsidR="00894C68">
        <w:rPr>
          <w:color w:val="000000" w:themeColor="text1"/>
        </w:rPr>
        <w:t>[noncitizen]</w:t>
      </w:r>
      <w:r w:rsidRPr="00201C83">
        <w:rPr>
          <w:color w:val="000000" w:themeColor="text1"/>
        </w:rPr>
        <w:t xml:space="preserve"> violates probation until there is an additional proceeding regarding the </w:t>
      </w:r>
      <w:r w:rsidRPr="00201C83" w:rsidR="00894C68">
        <w:rPr>
          <w:color w:val="000000" w:themeColor="text1"/>
        </w:rPr>
        <w:t>[noncitizen’s]</w:t>
      </w:r>
      <w:r w:rsidRPr="00201C83">
        <w:rPr>
          <w:color w:val="000000" w:themeColor="text1"/>
        </w:rPr>
        <w:t xml:space="preserve"> guilt or innocence. In such cases, the third prong of the </w:t>
      </w:r>
      <w:proofErr w:type="spellStart"/>
      <w:r w:rsidRPr="00201C83">
        <w:rPr>
          <w:color w:val="000000" w:themeColor="text1"/>
        </w:rPr>
        <w:t>Ozkok</w:t>
      </w:r>
      <w:proofErr w:type="spellEnd"/>
      <w:r w:rsidRPr="00201C83">
        <w:rPr>
          <w:color w:val="000000" w:themeColor="text1"/>
        </w:rPr>
        <w:t xml:space="preserve"> definition prevents the original finding or confession of guilt to be considered a “conviction” for deportation purposes. This new provision, by removing the third prong of </w:t>
      </w:r>
      <w:proofErr w:type="spellStart"/>
      <w:r w:rsidRPr="00201C83">
        <w:rPr>
          <w:color w:val="000000" w:themeColor="text1"/>
        </w:rPr>
        <w:t>Ozkok</w:t>
      </w:r>
      <w:proofErr w:type="spellEnd"/>
      <w:r w:rsidRPr="00201C83">
        <w:rPr>
          <w:color w:val="000000" w:themeColor="text1"/>
        </w:rPr>
        <w:t xml:space="preserve">, clarifies Congressional intent that even in cases where adjudication is “deferred,” the original finding or confession of guilt is sufficient to establish a “conviction,” for purposes of the immigration laws. </w:t>
      </w:r>
    </w:p>
    <w:p w:rsidRPr="003358C0" w:rsidR="00C132EC" w:rsidP="004838D7" w:rsidRDefault="00C132EC" w14:paraId="087B8447" w14:textId="77777777">
      <w:pPr>
        <w:ind w:left="720" w:right="720" w:firstLine="720"/>
        <w:jc w:val="both"/>
        <w:rPr>
          <w:color w:val="000000" w:themeColor="text1"/>
        </w:rPr>
      </w:pPr>
    </w:p>
    <w:p w:rsidRPr="00201C83" w:rsidR="0066387E" w:rsidP="00302BF8" w:rsidRDefault="008B6EAC" w14:paraId="4FBA6291" w14:textId="359988AB">
      <w:pPr>
        <w:rPr>
          <w:color w:val="000000" w:themeColor="text1"/>
        </w:rPr>
      </w:pPr>
      <w:r w:rsidRPr="00201C83">
        <w:rPr>
          <w:color w:val="000000" w:themeColor="text1"/>
        </w:rPr>
        <w:t>H.R. Conf. Rep. No. 104-828, at 224 (1996)</w:t>
      </w:r>
      <w:r w:rsidRPr="00201C83" w:rsidR="00527BEE">
        <w:rPr>
          <w:color w:val="000000" w:themeColor="text1"/>
        </w:rPr>
        <w:t xml:space="preserve"> (emphasis added)</w:t>
      </w:r>
      <w:r w:rsidRPr="00201C83">
        <w:rPr>
          <w:color w:val="000000" w:themeColor="text1"/>
        </w:rPr>
        <w:t>.</w:t>
      </w:r>
      <w:r w:rsidRPr="00201C83" w:rsidR="00527BEE">
        <w:rPr>
          <w:rStyle w:val="FootnoteReference"/>
          <w:color w:val="000000" w:themeColor="text1"/>
        </w:rPr>
        <w:footnoteReference w:id="2"/>
      </w:r>
    </w:p>
    <w:p w:rsidRPr="00201C83" w:rsidR="00D11886" w:rsidP="00302BF8" w:rsidRDefault="00D11886" w14:paraId="468EDF4C" w14:textId="77777777">
      <w:pPr>
        <w:rPr>
          <w:color w:val="000000" w:themeColor="text1"/>
        </w:rPr>
      </w:pPr>
    </w:p>
    <w:p w:rsidRPr="00201C83" w:rsidR="00B265E6" w:rsidP="00D11886" w:rsidRDefault="00527BEE" w14:paraId="64E3FA8E" w14:textId="75AC5D26">
      <w:pPr>
        <w:ind w:firstLine="720"/>
        <w:rPr>
          <w:color w:val="000000" w:themeColor="text1"/>
        </w:rPr>
      </w:pPr>
      <w:r w:rsidRPr="00201C83">
        <w:rPr>
          <w:color w:val="000000" w:themeColor="text1"/>
        </w:rPr>
        <w:t xml:space="preserve">As the dissent and concurrence in </w:t>
      </w:r>
      <w:r w:rsidRPr="00201C83">
        <w:rPr>
          <w:i/>
          <w:iCs/>
          <w:color w:val="000000" w:themeColor="text1"/>
        </w:rPr>
        <w:t>Roldan</w:t>
      </w:r>
      <w:r w:rsidRPr="00201C83">
        <w:rPr>
          <w:color w:val="000000" w:themeColor="text1"/>
        </w:rPr>
        <w:t xml:space="preserve"> </w:t>
      </w:r>
      <w:r w:rsidRPr="00201C83" w:rsidR="0066387E">
        <w:rPr>
          <w:color w:val="000000" w:themeColor="text1"/>
        </w:rPr>
        <w:t>found</w:t>
      </w:r>
      <w:r w:rsidRPr="00201C83">
        <w:rPr>
          <w:color w:val="000000" w:themeColor="text1"/>
        </w:rPr>
        <w:t>, t</w:t>
      </w:r>
      <w:r w:rsidRPr="00201C83" w:rsidR="00DF44B7">
        <w:rPr>
          <w:color w:val="000000" w:themeColor="text1"/>
        </w:rPr>
        <w:t xml:space="preserve">his discussion reflects that </w:t>
      </w:r>
      <w:r w:rsidRPr="00201C83" w:rsidR="00E80169">
        <w:rPr>
          <w:color w:val="000000" w:themeColor="text1"/>
        </w:rPr>
        <w:t>Congress “specifically considered the myriad of provisions for ameliorating the effects of a conviction and acted only to remove the last prong</w:t>
      </w:r>
      <w:r w:rsidRPr="00201C83" w:rsidR="00890BB2">
        <w:rPr>
          <w:color w:val="000000" w:themeColor="text1"/>
        </w:rPr>
        <w:t xml:space="preserve">” of the test in </w:t>
      </w:r>
      <w:proofErr w:type="spellStart"/>
      <w:r w:rsidRPr="00201C83" w:rsidR="00890BB2">
        <w:rPr>
          <w:i/>
          <w:iCs/>
          <w:color w:val="000000" w:themeColor="text1"/>
        </w:rPr>
        <w:t>Ozkok</w:t>
      </w:r>
      <w:proofErr w:type="spellEnd"/>
      <w:r w:rsidRPr="00201C83" w:rsidR="00890BB2">
        <w:rPr>
          <w:color w:val="000000" w:themeColor="text1"/>
        </w:rPr>
        <w:t xml:space="preserve"> for withheld adjudications.</w:t>
      </w:r>
      <w:r w:rsidRPr="00201C83" w:rsidR="00DF44B7">
        <w:rPr>
          <w:color w:val="000000" w:themeColor="text1"/>
        </w:rPr>
        <w:t xml:space="preserve"> </w:t>
      </w:r>
      <w:r w:rsidRPr="00201C83" w:rsidR="008B6EAC">
        <w:rPr>
          <w:color w:val="000000" w:themeColor="text1"/>
        </w:rPr>
        <w:t>22 I&amp;N Dec.</w:t>
      </w:r>
      <w:r w:rsidR="00D50496">
        <w:rPr>
          <w:color w:val="000000" w:themeColor="text1"/>
        </w:rPr>
        <w:t xml:space="preserve"> </w:t>
      </w:r>
      <w:r w:rsidRPr="00201C83" w:rsidR="00894C68">
        <w:rPr>
          <w:color w:val="000000" w:themeColor="text1"/>
        </w:rPr>
        <w:t>at</w:t>
      </w:r>
      <w:r w:rsidRPr="00201C83" w:rsidR="008B6EAC">
        <w:rPr>
          <w:color w:val="000000" w:themeColor="text1"/>
        </w:rPr>
        <w:t xml:space="preserve"> 531 (</w:t>
      </w:r>
      <w:r w:rsidRPr="00201C83" w:rsidR="00890BB2">
        <w:rPr>
          <w:color w:val="000000" w:themeColor="text1"/>
        </w:rPr>
        <w:t xml:space="preserve">Bd. Member </w:t>
      </w:r>
      <w:proofErr w:type="spellStart"/>
      <w:r w:rsidRPr="00201C83" w:rsidR="00890BB2">
        <w:rPr>
          <w:color w:val="000000" w:themeColor="text1"/>
        </w:rPr>
        <w:t>Villageliu</w:t>
      </w:r>
      <w:proofErr w:type="spellEnd"/>
      <w:r w:rsidRPr="00201C83" w:rsidR="00890BB2">
        <w:rPr>
          <w:color w:val="000000" w:themeColor="text1"/>
        </w:rPr>
        <w:t>, et al., dissenting in part and concurring in part</w:t>
      </w:r>
      <w:r w:rsidRPr="00201C83" w:rsidR="008B6EAC">
        <w:rPr>
          <w:color w:val="000000" w:themeColor="text1"/>
        </w:rPr>
        <w:t>).</w:t>
      </w:r>
      <w:r w:rsidRPr="00201C83" w:rsidR="00B00A11">
        <w:rPr>
          <w:color w:val="000000" w:themeColor="text1"/>
        </w:rPr>
        <w:t xml:space="preserve"> To this end, the </w:t>
      </w:r>
      <w:r w:rsidR="00F641F8">
        <w:rPr>
          <w:color w:val="000000" w:themeColor="text1"/>
        </w:rPr>
        <w:t xml:space="preserve">Conference </w:t>
      </w:r>
      <w:r w:rsidRPr="00201C83" w:rsidR="00B00A11">
        <w:rPr>
          <w:color w:val="000000" w:themeColor="text1"/>
        </w:rPr>
        <w:t>Report</w:t>
      </w:r>
      <w:r w:rsidRPr="00201C83" w:rsidR="00894C68">
        <w:rPr>
          <w:color w:val="000000" w:themeColor="text1"/>
        </w:rPr>
        <w:t xml:space="preserve"> confirms that</w:t>
      </w:r>
      <w:r w:rsidRPr="00201C83" w:rsidR="00AB7555">
        <w:rPr>
          <w:color w:val="000000" w:themeColor="text1"/>
        </w:rPr>
        <w:t xml:space="preserve"> when </w:t>
      </w:r>
      <w:r w:rsidR="00D50496">
        <w:rPr>
          <w:color w:val="000000" w:themeColor="text1"/>
        </w:rPr>
        <w:t>Congress</w:t>
      </w:r>
      <w:r w:rsidRPr="00201C83" w:rsidR="00AB7555">
        <w:rPr>
          <w:color w:val="000000" w:themeColor="text1"/>
        </w:rPr>
        <w:t xml:space="preserve"> codified the “conviction” definition,</w:t>
      </w:r>
      <w:r w:rsidRPr="00201C83" w:rsidR="00894C68">
        <w:rPr>
          <w:color w:val="000000" w:themeColor="text1"/>
        </w:rPr>
        <w:t xml:space="preserve"> </w:t>
      </w:r>
      <w:r w:rsidR="00D50496">
        <w:rPr>
          <w:color w:val="000000" w:themeColor="text1"/>
        </w:rPr>
        <w:t>it</w:t>
      </w:r>
      <w:r w:rsidRPr="00201C83" w:rsidR="00D50496">
        <w:rPr>
          <w:color w:val="000000" w:themeColor="text1"/>
        </w:rPr>
        <w:t xml:space="preserve"> </w:t>
      </w:r>
      <w:r w:rsidRPr="00201C83" w:rsidR="00AB7555">
        <w:rPr>
          <w:color w:val="000000" w:themeColor="text1"/>
        </w:rPr>
        <w:t xml:space="preserve">all but entirely incorporated </w:t>
      </w:r>
      <w:proofErr w:type="spellStart"/>
      <w:r w:rsidRPr="00201C83" w:rsidR="00AB7555">
        <w:rPr>
          <w:i/>
          <w:iCs/>
          <w:color w:val="000000" w:themeColor="text1"/>
        </w:rPr>
        <w:t>Ozkok</w:t>
      </w:r>
      <w:proofErr w:type="spellEnd"/>
      <w:r w:rsidRPr="00201C83" w:rsidR="00AB7555">
        <w:rPr>
          <w:color w:val="000000" w:themeColor="text1"/>
        </w:rPr>
        <w:t xml:space="preserve"> and the prior common law history on the term “conviction,” and </w:t>
      </w:r>
      <w:r w:rsidR="00D50496">
        <w:rPr>
          <w:color w:val="000000" w:themeColor="text1"/>
        </w:rPr>
        <w:t xml:space="preserve">it </w:t>
      </w:r>
      <w:r w:rsidRPr="00201C83" w:rsidR="00AB7555">
        <w:rPr>
          <w:color w:val="000000" w:themeColor="text1"/>
        </w:rPr>
        <w:t>abrogated these cases</w:t>
      </w:r>
      <w:r w:rsidRPr="00201C83" w:rsidR="00890BB2">
        <w:rPr>
          <w:color w:val="000000" w:themeColor="text1"/>
        </w:rPr>
        <w:t xml:space="preserve"> only with respect to</w:t>
      </w:r>
      <w:r w:rsidRPr="00201C83">
        <w:rPr>
          <w:color w:val="000000" w:themeColor="text1"/>
        </w:rPr>
        <w:t xml:space="preserve"> certain </w:t>
      </w:r>
      <w:r w:rsidRPr="00201C83" w:rsidR="00AB7555">
        <w:rPr>
          <w:color w:val="000000" w:themeColor="text1"/>
        </w:rPr>
        <w:t>deferred or withheld adjudication cases</w:t>
      </w:r>
      <w:r w:rsidRPr="00201C83">
        <w:rPr>
          <w:color w:val="000000" w:themeColor="text1"/>
        </w:rPr>
        <w:t>.</w:t>
      </w:r>
      <w:r w:rsidRPr="00201C83" w:rsidR="00B00A11">
        <w:rPr>
          <w:color w:val="000000" w:themeColor="text1"/>
        </w:rPr>
        <w:t xml:space="preserve"> </w:t>
      </w:r>
    </w:p>
    <w:p w:rsidRPr="00201C83" w:rsidR="00D11886" w:rsidP="00D11886" w:rsidRDefault="00D11886" w14:paraId="605D13F0" w14:textId="77777777">
      <w:pPr>
        <w:ind w:firstLine="720"/>
        <w:rPr>
          <w:color w:val="000000" w:themeColor="text1"/>
        </w:rPr>
      </w:pPr>
    </w:p>
    <w:p w:rsidRPr="00201C83" w:rsidR="00B265E6" w:rsidP="004838D7" w:rsidRDefault="0066387E" w14:paraId="09B6E849" w14:textId="707E6400">
      <w:pPr>
        <w:ind w:firstLine="720"/>
        <w:rPr>
          <w:color w:val="000000" w:themeColor="text1"/>
        </w:rPr>
      </w:pPr>
      <w:r w:rsidRPr="00201C83">
        <w:rPr>
          <w:color w:val="000000" w:themeColor="text1"/>
        </w:rPr>
        <w:t>Simply put, there is no indication in t</w:t>
      </w:r>
      <w:r w:rsidRPr="00201C83" w:rsidR="00FB071D">
        <w:rPr>
          <w:color w:val="000000" w:themeColor="text1"/>
        </w:rPr>
        <w:t xml:space="preserve">he </w:t>
      </w:r>
      <w:r w:rsidR="00F641F8">
        <w:rPr>
          <w:color w:val="000000" w:themeColor="text1"/>
        </w:rPr>
        <w:t xml:space="preserve">Conference </w:t>
      </w:r>
      <w:r w:rsidRPr="00201C83" w:rsidR="00FB071D">
        <w:rPr>
          <w:color w:val="000000" w:themeColor="text1"/>
        </w:rPr>
        <w:t>Report</w:t>
      </w:r>
      <w:r w:rsidRPr="00201C83" w:rsidR="00B265E6">
        <w:rPr>
          <w:color w:val="000000" w:themeColor="text1"/>
        </w:rPr>
        <w:t xml:space="preserve"> </w:t>
      </w:r>
      <w:r w:rsidRPr="00201C83">
        <w:rPr>
          <w:color w:val="000000" w:themeColor="text1"/>
        </w:rPr>
        <w:t xml:space="preserve">of any intent </w:t>
      </w:r>
      <w:r w:rsidRPr="00201C83" w:rsidR="009B41EA">
        <w:rPr>
          <w:color w:val="000000" w:themeColor="text1"/>
        </w:rPr>
        <w:t>to include within the conviction definition dispositions that have been</w:t>
      </w:r>
      <w:r w:rsidRPr="00201C83" w:rsidR="00B265E6">
        <w:rPr>
          <w:color w:val="000000" w:themeColor="text1"/>
        </w:rPr>
        <w:t xml:space="preserve"> </w:t>
      </w:r>
      <w:r w:rsidRPr="00201C83" w:rsidR="00731BCE">
        <w:rPr>
          <w:color w:val="000000" w:themeColor="text1"/>
        </w:rPr>
        <w:t xml:space="preserve">vacated, expunged, or otherwise </w:t>
      </w:r>
      <w:r w:rsidRPr="00201C83" w:rsidR="00B265E6">
        <w:rPr>
          <w:color w:val="000000" w:themeColor="text1"/>
        </w:rPr>
        <w:t xml:space="preserve">eliminated through state post-conviction relief. </w:t>
      </w:r>
      <w:r w:rsidRPr="00201C83" w:rsidR="00B265E6">
        <w:rPr>
          <w:i/>
          <w:iCs/>
          <w:color w:val="000000" w:themeColor="text1"/>
        </w:rPr>
        <w:t>See</w:t>
      </w:r>
      <w:r w:rsidRPr="00201C83" w:rsidR="00B265E6">
        <w:rPr>
          <w:color w:val="000000" w:themeColor="text1"/>
        </w:rPr>
        <w:t xml:space="preserve"> H.R. Conf. Rep. No.</w:t>
      </w:r>
      <w:r w:rsidR="00D50496">
        <w:rPr>
          <w:color w:val="000000" w:themeColor="text1"/>
        </w:rPr>
        <w:t xml:space="preserve"> </w:t>
      </w:r>
      <w:r w:rsidRPr="00201C83" w:rsidR="00B265E6">
        <w:rPr>
          <w:color w:val="000000" w:themeColor="text1"/>
        </w:rPr>
        <w:t xml:space="preserve">104-828, at 223–24. </w:t>
      </w:r>
    </w:p>
    <w:p w:rsidRPr="003358C0" w:rsidR="008B6EAC" w:rsidP="004838D7" w:rsidRDefault="008B6EAC" w14:paraId="65617EE6" w14:textId="77777777">
      <w:pPr>
        <w:rPr>
          <w:color w:val="000000" w:themeColor="text1"/>
        </w:rPr>
      </w:pPr>
    </w:p>
    <w:p w:rsidRPr="00201C83" w:rsidR="006C0485" w:rsidP="00E554C3" w:rsidRDefault="002B18FC" w14:paraId="5DCEC9EA" w14:textId="6E384B14">
      <w:pPr>
        <w:pStyle w:val="Heading2"/>
      </w:pPr>
      <w:bookmarkStart w:name="_Toc103585905" w:id="6"/>
      <w:r>
        <w:t xml:space="preserve">      </w:t>
      </w:r>
      <w:r w:rsidRPr="00201C83" w:rsidR="007C39C6">
        <w:t xml:space="preserve">Applicable </w:t>
      </w:r>
      <w:r w:rsidRPr="00201C83" w:rsidR="00147EC2">
        <w:t>S</w:t>
      </w:r>
      <w:r w:rsidRPr="00201C83" w:rsidR="007C39C6">
        <w:t xml:space="preserve">tatutory </w:t>
      </w:r>
      <w:r w:rsidRPr="00201C83" w:rsidR="00F43E7D">
        <w:t>I</w:t>
      </w:r>
      <w:r w:rsidRPr="00201C83" w:rsidR="007C39C6">
        <w:t xml:space="preserve">nterpretation </w:t>
      </w:r>
      <w:r w:rsidRPr="00201C83" w:rsidR="00147EC2">
        <w:t>P</w:t>
      </w:r>
      <w:r w:rsidRPr="00201C83" w:rsidR="007C39C6">
        <w:t>rinciples</w:t>
      </w:r>
      <w:r w:rsidR="00436DC9">
        <w:t xml:space="preserve"> Further Confirm That </w:t>
      </w:r>
      <w:r w:rsidRPr="00201C83" w:rsidR="00011D25">
        <w:t xml:space="preserve">the </w:t>
      </w:r>
      <w:r w:rsidR="00DD4108">
        <w:t xml:space="preserve">INA </w:t>
      </w:r>
      <w:r w:rsidRPr="00201C83" w:rsidR="00011D25">
        <w:t>Conviction Definition</w:t>
      </w:r>
      <w:r w:rsidR="00436DC9">
        <w:t xml:space="preserve"> Does</w:t>
      </w:r>
      <w:r w:rsidRPr="00201C83" w:rsidR="00011D25">
        <w:t xml:space="preserve"> Not </w:t>
      </w:r>
      <w:r w:rsidRPr="00201C83" w:rsidR="00147EC2">
        <w:t>I</w:t>
      </w:r>
      <w:r w:rsidRPr="00201C83" w:rsidR="007C39C6">
        <w:t xml:space="preserve">nclude </w:t>
      </w:r>
      <w:r w:rsidRPr="00201C83" w:rsidR="00147EC2">
        <w:t>V</w:t>
      </w:r>
      <w:r w:rsidRPr="00201C83" w:rsidR="007C39C6">
        <w:t xml:space="preserve">acated </w:t>
      </w:r>
      <w:r w:rsidRPr="00201C83" w:rsidR="000A2E6A">
        <w:t>o</w:t>
      </w:r>
      <w:r w:rsidRPr="00201C83" w:rsidR="00BF1357">
        <w:t xml:space="preserve">r </w:t>
      </w:r>
      <w:r w:rsidRPr="00201C83" w:rsidR="00147EC2">
        <w:t>E</w:t>
      </w:r>
      <w:r w:rsidRPr="00201C83" w:rsidR="007C39C6">
        <w:t xml:space="preserve">xpunged </w:t>
      </w:r>
      <w:r w:rsidRPr="00201C83" w:rsidR="00147EC2">
        <w:t>P</w:t>
      </w:r>
      <w:r w:rsidRPr="00201C83" w:rsidR="007C39C6">
        <w:t xml:space="preserve">rior </w:t>
      </w:r>
      <w:r w:rsidRPr="00201C83" w:rsidR="00147EC2">
        <w:t>C</w:t>
      </w:r>
      <w:r w:rsidRPr="00201C83" w:rsidR="007C39C6">
        <w:t>onvictions</w:t>
      </w:r>
      <w:r w:rsidRPr="00201C83" w:rsidR="00BF1357">
        <w:t>.</w:t>
      </w:r>
      <w:bookmarkEnd w:id="6"/>
    </w:p>
    <w:p w:rsidRPr="00201C83" w:rsidR="00E80169" w:rsidP="004838D7" w:rsidRDefault="00E80169" w14:paraId="5C8CEE4D" w14:textId="77777777">
      <w:pPr>
        <w:ind w:firstLine="720"/>
        <w:rPr>
          <w:color w:val="000000" w:themeColor="text1"/>
        </w:rPr>
      </w:pPr>
    </w:p>
    <w:p w:rsidRPr="003358C0" w:rsidR="00793C28" w:rsidP="006E22AB" w:rsidRDefault="00CF7F9F" w14:paraId="50F7BB37" w14:textId="5DE72E68">
      <w:pPr>
        <w:pStyle w:val="FootnoteText"/>
        <w:ind w:firstLine="72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A</w:t>
      </w:r>
      <w:r w:rsidRPr="00201C83" w:rsidR="003B51D8">
        <w:rPr>
          <w:rFonts w:ascii="Times New Roman" w:hAnsi="Times New Roman" w:cs="Times New Roman"/>
          <w:color w:val="000000" w:themeColor="text1"/>
          <w:sz w:val="24"/>
          <w:szCs w:val="24"/>
        </w:rPr>
        <w:t>pplica</w:t>
      </w:r>
      <w:r>
        <w:rPr>
          <w:rFonts w:ascii="Times New Roman" w:hAnsi="Times New Roman" w:cs="Times New Roman"/>
          <w:color w:val="000000" w:themeColor="text1"/>
          <w:sz w:val="24"/>
          <w:szCs w:val="24"/>
        </w:rPr>
        <w:t>tion of traditional</w:t>
      </w:r>
      <w:r w:rsidRPr="00201C83" w:rsidR="003B51D8">
        <w:rPr>
          <w:rFonts w:ascii="Times New Roman" w:hAnsi="Times New Roman" w:cs="Times New Roman"/>
          <w:color w:val="000000" w:themeColor="text1"/>
          <w:sz w:val="24"/>
          <w:szCs w:val="24"/>
        </w:rPr>
        <w:t xml:space="preserve"> </w:t>
      </w:r>
      <w:r w:rsidRPr="00201C83" w:rsidR="00D8550C">
        <w:rPr>
          <w:rFonts w:ascii="Times New Roman" w:hAnsi="Times New Roman" w:cs="Times New Roman"/>
          <w:color w:val="000000" w:themeColor="text1"/>
          <w:sz w:val="24"/>
          <w:szCs w:val="24"/>
        </w:rPr>
        <w:t xml:space="preserve">tools of statutory construction </w:t>
      </w:r>
      <w:r>
        <w:rPr>
          <w:rFonts w:ascii="Times New Roman" w:hAnsi="Times New Roman" w:cs="Times New Roman"/>
          <w:color w:val="000000" w:themeColor="text1"/>
          <w:sz w:val="24"/>
          <w:szCs w:val="24"/>
        </w:rPr>
        <w:t xml:space="preserve">further confirms and </w:t>
      </w:r>
      <w:r w:rsidRPr="00201C83" w:rsidR="00011D25">
        <w:rPr>
          <w:rFonts w:ascii="Times New Roman" w:hAnsi="Times New Roman" w:cs="Times New Roman"/>
          <w:color w:val="000000" w:themeColor="text1"/>
          <w:sz w:val="24"/>
          <w:szCs w:val="24"/>
        </w:rPr>
        <w:t>require</w:t>
      </w:r>
      <w:r>
        <w:rPr>
          <w:rFonts w:ascii="Times New Roman" w:hAnsi="Times New Roman" w:cs="Times New Roman"/>
          <w:color w:val="000000" w:themeColor="text1"/>
          <w:sz w:val="24"/>
          <w:szCs w:val="24"/>
        </w:rPr>
        <w:t>s</w:t>
      </w:r>
      <w:r w:rsidRPr="00201C83" w:rsidR="00011D25">
        <w:rPr>
          <w:rFonts w:ascii="Times New Roman" w:hAnsi="Times New Roman" w:cs="Times New Roman"/>
          <w:color w:val="000000" w:themeColor="text1"/>
          <w:sz w:val="24"/>
          <w:szCs w:val="24"/>
        </w:rPr>
        <w:t xml:space="preserve"> finding </w:t>
      </w:r>
      <w:r w:rsidRPr="00201C83" w:rsidR="00A309FB">
        <w:rPr>
          <w:rFonts w:ascii="Times New Roman" w:hAnsi="Times New Roman" w:cs="Times New Roman"/>
          <w:color w:val="000000" w:themeColor="text1"/>
          <w:sz w:val="24"/>
          <w:szCs w:val="24"/>
        </w:rPr>
        <w:t>that</w:t>
      </w:r>
      <w:r w:rsidRPr="00201C83" w:rsidR="003B51D8">
        <w:rPr>
          <w:rFonts w:ascii="Times New Roman" w:hAnsi="Times New Roman" w:cs="Times New Roman"/>
          <w:color w:val="000000" w:themeColor="text1"/>
          <w:sz w:val="24"/>
          <w:szCs w:val="24"/>
        </w:rPr>
        <w:t xml:space="preserve"> the conviction definition does not include prior convictions that have been vacated or expunged.</w:t>
      </w:r>
      <w:r w:rsidRPr="00201C83" w:rsidR="003B51D8">
        <w:rPr>
          <w:color w:val="000000" w:themeColor="text1"/>
        </w:rPr>
        <w:t xml:space="preserve"> </w:t>
      </w:r>
      <w:r w:rsidRPr="003358C0" w:rsidR="00793C28">
        <w:rPr>
          <w:rFonts w:ascii="Times New Roman" w:hAnsi="Times New Roman" w:cs="Times New Roman"/>
          <w:color w:val="000000" w:themeColor="text1"/>
          <w:sz w:val="24"/>
          <w:szCs w:val="24"/>
        </w:rPr>
        <w:t xml:space="preserve">The Supreme Court directs </w:t>
      </w:r>
      <w:proofErr w:type="gramStart"/>
      <w:r w:rsidRPr="003358C0" w:rsidR="00793C28">
        <w:rPr>
          <w:rFonts w:ascii="Times New Roman" w:hAnsi="Times New Roman" w:cs="Times New Roman"/>
          <w:color w:val="000000" w:themeColor="text1"/>
          <w:sz w:val="24"/>
          <w:szCs w:val="24"/>
        </w:rPr>
        <w:t>that traditional canons of construction</w:t>
      </w:r>
      <w:proofErr w:type="gramEnd"/>
      <w:r w:rsidRPr="003358C0" w:rsidR="00793C28">
        <w:rPr>
          <w:rFonts w:ascii="Times New Roman" w:hAnsi="Times New Roman" w:cs="Times New Roman"/>
          <w:color w:val="000000" w:themeColor="text1"/>
          <w:sz w:val="24"/>
          <w:szCs w:val="24"/>
        </w:rPr>
        <w:t xml:space="preserve"> be applied to identify </w:t>
      </w:r>
      <w:r w:rsidRPr="003358C0" w:rsidR="005E5197">
        <w:rPr>
          <w:rFonts w:ascii="Times New Roman" w:hAnsi="Times New Roman" w:cs="Times New Roman"/>
          <w:color w:val="000000" w:themeColor="text1"/>
          <w:sz w:val="24"/>
          <w:szCs w:val="24"/>
        </w:rPr>
        <w:t>C</w:t>
      </w:r>
      <w:r w:rsidRPr="003358C0" w:rsidR="00793C28">
        <w:rPr>
          <w:rFonts w:ascii="Times New Roman" w:hAnsi="Times New Roman" w:cs="Times New Roman"/>
          <w:color w:val="000000" w:themeColor="text1"/>
          <w:sz w:val="24"/>
          <w:szCs w:val="24"/>
        </w:rPr>
        <w:t xml:space="preserve">ongressional intent in passing a law. </w:t>
      </w:r>
      <w:r w:rsidRPr="003358C0" w:rsidR="00793C28">
        <w:rPr>
          <w:rFonts w:ascii="Times New Roman" w:hAnsi="Times New Roman" w:cs="Times New Roman"/>
          <w:i/>
          <w:color w:val="000000" w:themeColor="text1"/>
          <w:sz w:val="24"/>
          <w:szCs w:val="24"/>
        </w:rPr>
        <w:t>See, e.g.</w:t>
      </w:r>
      <w:r w:rsidRPr="003358C0" w:rsidR="00793C28">
        <w:rPr>
          <w:rFonts w:ascii="Times New Roman" w:hAnsi="Times New Roman" w:cs="Times New Roman"/>
          <w:color w:val="000000" w:themeColor="text1"/>
          <w:sz w:val="24"/>
          <w:szCs w:val="24"/>
        </w:rPr>
        <w:t xml:space="preserve">, </w:t>
      </w:r>
      <w:r w:rsidRPr="003358C0" w:rsidR="00793C28">
        <w:rPr>
          <w:rFonts w:ascii="Times New Roman" w:hAnsi="Times New Roman" w:cs="Times New Roman"/>
          <w:i/>
          <w:color w:val="000000" w:themeColor="text1"/>
          <w:sz w:val="24"/>
          <w:szCs w:val="24"/>
        </w:rPr>
        <w:t>Chevron</w:t>
      </w:r>
      <w:r w:rsidRPr="003358C0" w:rsidR="00793C28">
        <w:rPr>
          <w:rFonts w:ascii="Times New Roman" w:hAnsi="Times New Roman" w:cs="Times New Roman"/>
          <w:color w:val="000000" w:themeColor="text1"/>
          <w:sz w:val="24"/>
          <w:szCs w:val="24"/>
        </w:rPr>
        <w:t xml:space="preserve">, 467 U.S. </w:t>
      </w:r>
      <w:r w:rsidR="00436DC9">
        <w:rPr>
          <w:rFonts w:ascii="Times New Roman" w:hAnsi="Times New Roman" w:cs="Times New Roman"/>
          <w:color w:val="000000" w:themeColor="text1"/>
          <w:sz w:val="24"/>
          <w:szCs w:val="24"/>
        </w:rPr>
        <w:t>at</w:t>
      </w:r>
      <w:r w:rsidRPr="003358C0" w:rsidR="00793C28">
        <w:rPr>
          <w:rFonts w:ascii="Times New Roman" w:hAnsi="Times New Roman" w:cs="Times New Roman"/>
          <w:color w:val="000000" w:themeColor="text1"/>
          <w:sz w:val="24"/>
          <w:szCs w:val="24"/>
        </w:rPr>
        <w:t xml:space="preserve"> 843 n.9 (“</w:t>
      </w:r>
      <w:r w:rsidR="00DD4108">
        <w:rPr>
          <w:rFonts w:ascii="Times New Roman" w:hAnsi="Times New Roman" w:cs="Times New Roman"/>
          <w:color w:val="000000" w:themeColor="text1"/>
          <w:sz w:val="24"/>
          <w:szCs w:val="24"/>
        </w:rPr>
        <w:t xml:space="preserve">If a court, </w:t>
      </w:r>
      <w:r w:rsidRPr="003358C0" w:rsidR="00793C28">
        <w:rPr>
          <w:rFonts w:ascii="Times New Roman" w:hAnsi="Times New Roman" w:cs="Times New Roman"/>
          <w:color w:val="000000" w:themeColor="text1"/>
          <w:sz w:val="24"/>
          <w:szCs w:val="24"/>
        </w:rPr>
        <w:t>employing traditional tools of statutory construction, ascertains that Congress had an intention on the precise question at issue, that intention is the law and must be given effect.”). The INA is no exception, a</w:t>
      </w:r>
      <w:r w:rsidR="00436DC9">
        <w:rPr>
          <w:rFonts w:ascii="Times New Roman" w:hAnsi="Times New Roman" w:cs="Times New Roman"/>
          <w:color w:val="000000" w:themeColor="text1"/>
          <w:sz w:val="24"/>
          <w:szCs w:val="24"/>
        </w:rPr>
        <w:t>s is reflected by</w:t>
      </w:r>
      <w:r w:rsidRPr="003358C0" w:rsidR="00793C28">
        <w:rPr>
          <w:rFonts w:ascii="Times New Roman" w:hAnsi="Times New Roman" w:cs="Times New Roman"/>
          <w:color w:val="000000" w:themeColor="text1"/>
          <w:sz w:val="24"/>
          <w:szCs w:val="24"/>
        </w:rPr>
        <w:t xml:space="preserve"> the Court</w:t>
      </w:r>
      <w:r w:rsidR="00436DC9">
        <w:rPr>
          <w:rFonts w:ascii="Times New Roman" w:hAnsi="Times New Roman" w:cs="Times New Roman"/>
          <w:color w:val="000000" w:themeColor="text1"/>
          <w:sz w:val="24"/>
          <w:szCs w:val="24"/>
        </w:rPr>
        <w:t>’s</w:t>
      </w:r>
      <w:r w:rsidRPr="003358C0" w:rsidR="00793C28">
        <w:rPr>
          <w:rFonts w:ascii="Times New Roman" w:hAnsi="Times New Roman" w:cs="Times New Roman"/>
          <w:color w:val="000000" w:themeColor="text1"/>
          <w:sz w:val="24"/>
          <w:szCs w:val="24"/>
        </w:rPr>
        <w:t xml:space="preserve"> long history of applying interpretive canons</w:t>
      </w:r>
      <w:r w:rsidR="00436DC9">
        <w:rPr>
          <w:rFonts w:ascii="Times New Roman" w:hAnsi="Times New Roman" w:cs="Times New Roman"/>
          <w:color w:val="000000" w:themeColor="text1"/>
          <w:sz w:val="24"/>
          <w:szCs w:val="24"/>
        </w:rPr>
        <w:t xml:space="preserve"> </w:t>
      </w:r>
      <w:r w:rsidRPr="003358C0" w:rsidR="00793C28">
        <w:rPr>
          <w:rFonts w:ascii="Times New Roman" w:hAnsi="Times New Roman" w:cs="Times New Roman"/>
          <w:color w:val="000000" w:themeColor="text1"/>
          <w:sz w:val="24"/>
          <w:szCs w:val="24"/>
        </w:rPr>
        <w:t xml:space="preserve">to determine </w:t>
      </w:r>
      <w:r w:rsidRPr="003358C0" w:rsidR="005E5197">
        <w:rPr>
          <w:rFonts w:ascii="Times New Roman" w:hAnsi="Times New Roman" w:cs="Times New Roman"/>
          <w:color w:val="000000" w:themeColor="text1"/>
          <w:sz w:val="24"/>
          <w:szCs w:val="24"/>
        </w:rPr>
        <w:t>Congressional intent</w:t>
      </w:r>
      <w:r w:rsidR="00436DC9">
        <w:rPr>
          <w:rFonts w:ascii="Times New Roman" w:hAnsi="Times New Roman" w:cs="Times New Roman"/>
          <w:color w:val="000000" w:themeColor="text1"/>
          <w:sz w:val="24"/>
          <w:szCs w:val="24"/>
        </w:rPr>
        <w:t xml:space="preserve"> in the immigration context</w:t>
      </w:r>
      <w:r w:rsidRPr="003358C0" w:rsidR="00704A8D">
        <w:rPr>
          <w:rFonts w:ascii="Times New Roman" w:hAnsi="Times New Roman" w:cs="Times New Roman"/>
          <w:color w:val="000000" w:themeColor="text1"/>
          <w:sz w:val="24"/>
          <w:szCs w:val="24"/>
        </w:rPr>
        <w:t>.</w:t>
      </w:r>
      <w:r w:rsidRPr="003358C0" w:rsidR="00793C28">
        <w:rPr>
          <w:rFonts w:ascii="Times New Roman" w:hAnsi="Times New Roman" w:cs="Times New Roman"/>
          <w:color w:val="000000" w:themeColor="text1"/>
          <w:sz w:val="24"/>
          <w:szCs w:val="24"/>
        </w:rPr>
        <w:t xml:space="preserve"> </w:t>
      </w:r>
      <w:r w:rsidRPr="003358C0" w:rsidR="00793C28">
        <w:rPr>
          <w:rFonts w:ascii="Times New Roman" w:hAnsi="Times New Roman" w:cs="Times New Roman"/>
          <w:i/>
          <w:iCs/>
          <w:color w:val="000000" w:themeColor="text1"/>
          <w:sz w:val="24"/>
          <w:szCs w:val="24"/>
        </w:rPr>
        <w:t>See, e.g.</w:t>
      </w:r>
      <w:r w:rsidRPr="003358C0" w:rsidR="00793C28">
        <w:rPr>
          <w:rFonts w:ascii="Times New Roman" w:hAnsi="Times New Roman" w:cs="Times New Roman"/>
          <w:color w:val="000000" w:themeColor="text1"/>
          <w:sz w:val="24"/>
          <w:szCs w:val="24"/>
        </w:rPr>
        <w:t xml:space="preserve">, </w:t>
      </w:r>
      <w:r w:rsidRPr="003358C0" w:rsidR="00793C28">
        <w:rPr>
          <w:rFonts w:ascii="Times New Roman" w:hAnsi="Times New Roman" w:cs="Times New Roman"/>
          <w:i/>
          <w:iCs/>
          <w:color w:val="000000" w:themeColor="text1"/>
          <w:sz w:val="24"/>
          <w:szCs w:val="24"/>
        </w:rPr>
        <w:t>INS v. Cardoza-Fonseca</w:t>
      </w:r>
      <w:r w:rsidRPr="003358C0" w:rsidR="00793C28">
        <w:rPr>
          <w:rFonts w:ascii="Times New Roman" w:hAnsi="Times New Roman" w:cs="Times New Roman"/>
          <w:color w:val="000000" w:themeColor="text1"/>
          <w:sz w:val="24"/>
          <w:szCs w:val="24"/>
        </w:rPr>
        <w:t>, 480 U.S. 421, 446</w:t>
      </w:r>
      <w:r w:rsidRPr="003F2D98" w:rsidR="0027428C">
        <w:rPr>
          <w:color w:val="000000" w:themeColor="text1"/>
        </w:rPr>
        <w:t>–</w:t>
      </w:r>
      <w:r w:rsidRPr="003358C0" w:rsidR="00793C28">
        <w:rPr>
          <w:rFonts w:ascii="Times New Roman" w:hAnsi="Times New Roman" w:cs="Times New Roman"/>
          <w:color w:val="000000" w:themeColor="text1"/>
          <w:sz w:val="24"/>
          <w:szCs w:val="24"/>
        </w:rPr>
        <w:t>4</w:t>
      </w:r>
      <w:r w:rsidR="00BC5DB4">
        <w:rPr>
          <w:rFonts w:ascii="Times New Roman" w:hAnsi="Times New Roman" w:cs="Times New Roman"/>
          <w:color w:val="000000" w:themeColor="text1"/>
          <w:sz w:val="24"/>
          <w:szCs w:val="24"/>
        </w:rPr>
        <w:t>8</w:t>
      </w:r>
      <w:r w:rsidRPr="003358C0" w:rsidR="00793C28">
        <w:rPr>
          <w:rFonts w:ascii="Times New Roman" w:hAnsi="Times New Roman" w:cs="Times New Roman"/>
          <w:color w:val="000000" w:themeColor="text1"/>
          <w:sz w:val="24"/>
          <w:szCs w:val="24"/>
        </w:rPr>
        <w:t xml:space="preserve"> (1987) (“[e]</w:t>
      </w:r>
      <w:proofErr w:type="spellStart"/>
      <w:r w:rsidRPr="003358C0" w:rsidR="00793C28">
        <w:rPr>
          <w:rFonts w:ascii="Times New Roman" w:hAnsi="Times New Roman" w:cs="Times New Roman"/>
          <w:color w:val="000000" w:themeColor="text1"/>
          <w:sz w:val="24"/>
          <w:szCs w:val="24"/>
        </w:rPr>
        <w:t>mploying</w:t>
      </w:r>
      <w:proofErr w:type="spellEnd"/>
      <w:r w:rsidRPr="003358C0" w:rsidR="00793C28">
        <w:rPr>
          <w:rFonts w:ascii="Times New Roman" w:hAnsi="Times New Roman" w:cs="Times New Roman"/>
          <w:color w:val="000000" w:themeColor="text1"/>
          <w:sz w:val="24"/>
          <w:szCs w:val="24"/>
        </w:rPr>
        <w:t xml:space="preserve"> tools of statutory construction” </w:t>
      </w:r>
      <w:r w:rsidR="00BC5DB4">
        <w:rPr>
          <w:rFonts w:ascii="Times New Roman" w:hAnsi="Times New Roman" w:cs="Times New Roman"/>
          <w:color w:val="000000" w:themeColor="text1"/>
          <w:sz w:val="24"/>
          <w:szCs w:val="24"/>
        </w:rPr>
        <w:t xml:space="preserve">to ascertain intent of Congress in INA provisions </w:t>
      </w:r>
      <w:r w:rsidRPr="003358C0" w:rsidR="00793C28">
        <w:rPr>
          <w:rFonts w:ascii="Times New Roman" w:hAnsi="Times New Roman" w:cs="Times New Roman"/>
          <w:color w:val="000000" w:themeColor="text1"/>
          <w:sz w:val="24"/>
          <w:szCs w:val="24"/>
        </w:rPr>
        <w:t xml:space="preserve">and citing </w:t>
      </w:r>
      <w:r w:rsidRPr="003358C0" w:rsidR="00793C28">
        <w:rPr>
          <w:rFonts w:ascii="Times New Roman" w:hAnsi="Times New Roman" w:cs="Times New Roman"/>
          <w:i/>
          <w:iCs/>
          <w:color w:val="000000" w:themeColor="text1"/>
          <w:sz w:val="24"/>
          <w:szCs w:val="24"/>
        </w:rPr>
        <w:t>Chevron</w:t>
      </w:r>
      <w:r w:rsidR="00BC5DB4">
        <w:rPr>
          <w:rFonts w:ascii="Times New Roman" w:hAnsi="Times New Roman" w:cs="Times New Roman"/>
          <w:iCs/>
          <w:color w:val="000000" w:themeColor="text1"/>
          <w:sz w:val="24"/>
          <w:szCs w:val="24"/>
        </w:rPr>
        <w:t>, 467 U.S. at 843 n.9</w:t>
      </w:r>
      <w:r w:rsidRPr="003358C0" w:rsidR="00793C28">
        <w:rPr>
          <w:rFonts w:ascii="Times New Roman" w:hAnsi="Times New Roman" w:cs="Times New Roman"/>
          <w:color w:val="000000" w:themeColor="text1"/>
          <w:sz w:val="24"/>
          <w:szCs w:val="24"/>
        </w:rPr>
        <w:t xml:space="preserve">); </w:t>
      </w:r>
      <w:r w:rsidRPr="003358C0" w:rsidR="00793C28">
        <w:rPr>
          <w:rFonts w:ascii="Times New Roman" w:hAnsi="Times New Roman" w:cs="Times New Roman"/>
          <w:i/>
          <w:color w:val="000000" w:themeColor="text1"/>
          <w:sz w:val="24"/>
          <w:szCs w:val="24"/>
        </w:rPr>
        <w:t>INS v. St. Cyr</w:t>
      </w:r>
      <w:r w:rsidRPr="003358C0" w:rsidR="00793C28">
        <w:rPr>
          <w:rFonts w:ascii="Times New Roman" w:hAnsi="Times New Roman" w:cs="Times New Roman"/>
          <w:color w:val="000000" w:themeColor="text1"/>
          <w:sz w:val="24"/>
          <w:szCs w:val="24"/>
        </w:rPr>
        <w:t>, 533 U.S. 289, 319 n.45 (2001) (applying presumption against retroactivity to conviction-related provision of INA, former section 212(c)).</w:t>
      </w:r>
      <w:r w:rsidR="00245BB9">
        <w:rPr>
          <w:rStyle w:val="FootnoteReference"/>
          <w:rFonts w:ascii="Times New Roman" w:hAnsi="Times New Roman" w:cs="Times New Roman"/>
          <w:color w:val="000000" w:themeColor="text1"/>
          <w:sz w:val="24"/>
          <w:szCs w:val="24"/>
        </w:rPr>
        <w:footnoteReference w:id="3"/>
      </w:r>
    </w:p>
    <w:p w:rsidRPr="00201C83" w:rsidR="00793C28" w:rsidP="004838D7" w:rsidRDefault="00793C28" w14:paraId="7A603183" w14:textId="4AD61E7F">
      <w:pPr>
        <w:ind w:firstLine="720"/>
        <w:rPr>
          <w:color w:val="000000" w:themeColor="text1"/>
        </w:rPr>
      </w:pPr>
    </w:p>
    <w:p w:rsidRPr="00201C83" w:rsidR="00CC6844" w:rsidP="004838D7" w:rsidRDefault="003B51D8" w14:paraId="41ED2AB0" w14:textId="5E73FC1B">
      <w:pPr>
        <w:ind w:firstLine="720"/>
        <w:rPr>
          <w:color w:val="000000" w:themeColor="text1"/>
        </w:rPr>
      </w:pPr>
      <w:r w:rsidRPr="00201C83">
        <w:rPr>
          <w:i/>
          <w:iCs/>
          <w:color w:val="000000" w:themeColor="text1"/>
        </w:rPr>
        <w:t>Roldan</w:t>
      </w:r>
      <w:r w:rsidRPr="00201C83">
        <w:rPr>
          <w:color w:val="000000" w:themeColor="text1"/>
        </w:rPr>
        <w:t xml:space="preserve"> and </w:t>
      </w:r>
      <w:r w:rsidRPr="00201C83">
        <w:rPr>
          <w:i/>
          <w:iCs/>
          <w:color w:val="000000" w:themeColor="text1"/>
        </w:rPr>
        <w:t>Pickering</w:t>
      </w:r>
      <w:r w:rsidRPr="00201C83">
        <w:rPr>
          <w:color w:val="000000" w:themeColor="text1"/>
        </w:rPr>
        <w:t xml:space="preserve"> do not apply or discuss these interpretive tools </w:t>
      </w:r>
      <w:r w:rsidR="006D5BFD">
        <w:rPr>
          <w:color w:val="000000" w:themeColor="text1"/>
        </w:rPr>
        <w:t xml:space="preserve">that </w:t>
      </w:r>
      <w:r w:rsidRPr="00201C83">
        <w:rPr>
          <w:color w:val="000000" w:themeColor="text1"/>
        </w:rPr>
        <w:t xml:space="preserve">the Supreme Court instructs must be applied to identify correct statutory meaning. </w:t>
      </w:r>
      <w:r w:rsidRPr="00201C83" w:rsidR="00D8550C">
        <w:rPr>
          <w:color w:val="000000" w:themeColor="text1"/>
        </w:rPr>
        <w:t>Proper application of interpretive canons</w:t>
      </w:r>
      <w:r w:rsidRPr="00201C83" w:rsidR="00C05F66">
        <w:rPr>
          <w:color w:val="000000" w:themeColor="text1"/>
        </w:rPr>
        <w:t>—including the prior construction canon, federalism canon, rule of lenity</w:t>
      </w:r>
      <w:r w:rsidRPr="00201C83" w:rsidR="000A2E6A">
        <w:rPr>
          <w:color w:val="000000" w:themeColor="text1"/>
        </w:rPr>
        <w:t>, and presumption against deportation</w:t>
      </w:r>
      <w:r w:rsidRPr="00201C83" w:rsidR="00C05F66">
        <w:rPr>
          <w:color w:val="000000" w:themeColor="text1"/>
        </w:rPr>
        <w:t>—</w:t>
      </w:r>
      <w:r w:rsidR="00436DC9">
        <w:rPr>
          <w:color w:val="000000" w:themeColor="text1"/>
        </w:rPr>
        <w:t xml:space="preserve">unambiguously establish </w:t>
      </w:r>
      <w:r w:rsidRPr="00201C83" w:rsidR="00D8550C">
        <w:rPr>
          <w:color w:val="000000" w:themeColor="text1"/>
        </w:rPr>
        <w:t xml:space="preserve">that Congress </w:t>
      </w:r>
      <w:r w:rsidRPr="00201C83" w:rsidR="00C05F66">
        <w:rPr>
          <w:color w:val="000000" w:themeColor="text1"/>
        </w:rPr>
        <w:t xml:space="preserve">did not intend </w:t>
      </w:r>
      <w:r w:rsidRPr="00201C83" w:rsidR="00CC6844">
        <w:rPr>
          <w:color w:val="000000" w:themeColor="text1"/>
        </w:rPr>
        <w:t>for the conviction definition to extend to</w:t>
      </w:r>
      <w:r w:rsidR="00436DC9">
        <w:rPr>
          <w:color w:val="000000" w:themeColor="text1"/>
        </w:rPr>
        <w:t xml:space="preserve"> convictions</w:t>
      </w:r>
      <w:r w:rsidRPr="00201C83" w:rsidR="00CC6844">
        <w:rPr>
          <w:color w:val="000000" w:themeColor="text1"/>
        </w:rPr>
        <w:t xml:space="preserve"> vacated </w:t>
      </w:r>
      <w:r w:rsidR="00436DC9">
        <w:rPr>
          <w:color w:val="000000" w:themeColor="text1"/>
        </w:rPr>
        <w:t>or expunged by the States</w:t>
      </w:r>
      <w:r w:rsidRPr="00201C83" w:rsidR="00CC6844">
        <w:rPr>
          <w:color w:val="000000" w:themeColor="text1"/>
        </w:rPr>
        <w:t xml:space="preserve">, regardless of the reasons underlying </w:t>
      </w:r>
      <w:r w:rsidR="00042530">
        <w:rPr>
          <w:color w:val="000000" w:themeColor="text1"/>
        </w:rPr>
        <w:t>a s</w:t>
      </w:r>
      <w:r w:rsidRPr="00201C83" w:rsidR="00CC6844">
        <w:rPr>
          <w:color w:val="000000" w:themeColor="text1"/>
        </w:rPr>
        <w:t>tate</w:t>
      </w:r>
      <w:r w:rsidR="00436DC9">
        <w:rPr>
          <w:color w:val="000000" w:themeColor="text1"/>
        </w:rPr>
        <w:t>’s post-conviction</w:t>
      </w:r>
      <w:r w:rsidRPr="00201C83" w:rsidR="00CC6844">
        <w:rPr>
          <w:color w:val="000000" w:themeColor="text1"/>
        </w:rPr>
        <w:t xml:space="preserve"> action.  </w:t>
      </w:r>
    </w:p>
    <w:p w:rsidRPr="00201C83" w:rsidR="00D8550C" w:rsidP="004838D7" w:rsidRDefault="00D8550C" w14:paraId="5F0D9B2C" w14:textId="77777777">
      <w:pPr>
        <w:rPr>
          <w:b/>
          <w:bCs/>
          <w:color w:val="000000" w:themeColor="text1"/>
        </w:rPr>
      </w:pPr>
    </w:p>
    <w:p w:rsidRPr="00E554C3" w:rsidR="006D6CF4" w:rsidP="00E554C3" w:rsidRDefault="00DC271E" w14:paraId="6A8BE78B" w14:textId="715000CB">
      <w:pPr>
        <w:pStyle w:val="Heading3"/>
        <w:numPr>
          <w:ilvl w:val="0"/>
          <w:numId w:val="38"/>
        </w:numPr>
      </w:pPr>
      <w:r w:rsidRPr="002E7B87">
        <w:t xml:space="preserve">Prior </w:t>
      </w:r>
      <w:r w:rsidR="00BD7C8B">
        <w:t>C</w:t>
      </w:r>
      <w:r w:rsidRPr="002E7B87">
        <w:t xml:space="preserve">onstruction </w:t>
      </w:r>
      <w:r w:rsidR="00BD7C8B">
        <w:t>C</w:t>
      </w:r>
      <w:r w:rsidRPr="002E7B87">
        <w:t xml:space="preserve">anon: </w:t>
      </w:r>
      <w:r w:rsidR="00BD7C8B">
        <w:t>I</w:t>
      </w:r>
      <w:r w:rsidRPr="002E7B87" w:rsidR="00FF77E2">
        <w:t>n codifying the</w:t>
      </w:r>
      <w:r w:rsidRPr="002E7B87" w:rsidR="00EF5F11">
        <w:t xml:space="preserve"> terms of art “conviction</w:t>
      </w:r>
      <w:r w:rsidRPr="002E7B87" w:rsidR="00436DC9">
        <w:t>”</w:t>
      </w:r>
      <w:r w:rsidRPr="002E7B87" w:rsidR="00EF5F11">
        <w:t xml:space="preserve"> and</w:t>
      </w:r>
      <w:r w:rsidRPr="002E7B87" w:rsidR="00B1109E">
        <w:t xml:space="preserve"> “formal judgment of guilt</w:t>
      </w:r>
      <w:r w:rsidRPr="002E7B87" w:rsidR="00FF77E2">
        <w:t>,</w:t>
      </w:r>
      <w:r w:rsidRPr="002E7B87" w:rsidR="00B1109E">
        <w:t>”</w:t>
      </w:r>
      <w:r w:rsidRPr="002E7B87" w:rsidR="00FF77E2">
        <w:t xml:space="preserve"> Congress incorporated </w:t>
      </w:r>
      <w:r w:rsidRPr="002E7B87" w:rsidR="00436DC9">
        <w:t xml:space="preserve">the </w:t>
      </w:r>
      <w:r w:rsidRPr="002E7B87" w:rsidR="00FF77E2">
        <w:t>decades of</w:t>
      </w:r>
      <w:r w:rsidRPr="002E7B87" w:rsidR="00436DC9">
        <w:t xml:space="preserve"> prior </w:t>
      </w:r>
      <w:r w:rsidRPr="002E7B87" w:rsidR="00FF77E2">
        <w:t xml:space="preserve">decisional law </w:t>
      </w:r>
      <w:r w:rsidRPr="002E7B87" w:rsidR="00B1109E">
        <w:t>interpreting those terms to exclude</w:t>
      </w:r>
      <w:r w:rsidRPr="002E7B87" w:rsidR="00436DC9">
        <w:t xml:space="preserve"> </w:t>
      </w:r>
      <w:r w:rsidRPr="002E7B87" w:rsidR="00EF5F11">
        <w:t>convictions that have been</w:t>
      </w:r>
      <w:r w:rsidRPr="002E7B87" w:rsidR="00FF77E2">
        <w:t xml:space="preserve"> vacated or expunged</w:t>
      </w:r>
      <w:r w:rsidRPr="002E7B87" w:rsidR="6188A9B1">
        <w:t xml:space="preserve">. </w:t>
      </w:r>
    </w:p>
    <w:p w:rsidRPr="00201C83" w:rsidR="00B728F8" w:rsidP="00553D57" w:rsidRDefault="00B728F8" w14:paraId="7B4B3823" w14:textId="013B7908">
      <w:pPr>
        <w:rPr>
          <w:color w:val="000000" w:themeColor="text1"/>
        </w:rPr>
      </w:pPr>
    </w:p>
    <w:p w:rsidR="00B832E2" w:rsidP="006E22AB" w:rsidRDefault="00C05CF7" w14:paraId="75CE87FA" w14:textId="0FD4071B">
      <w:pPr>
        <w:ind w:firstLine="720"/>
        <w:rPr>
          <w:color w:val="000000" w:themeColor="text1"/>
        </w:rPr>
      </w:pPr>
      <w:r w:rsidRPr="00201C83">
        <w:rPr>
          <w:color w:val="000000" w:themeColor="text1"/>
        </w:rPr>
        <w:t>The</w:t>
      </w:r>
      <w:r w:rsidRPr="00201C83" w:rsidR="004B5DD5">
        <w:rPr>
          <w:color w:val="000000" w:themeColor="text1"/>
        </w:rPr>
        <w:t xml:space="preserve"> prior</w:t>
      </w:r>
      <w:r w:rsidRPr="00201C83" w:rsidR="00757352">
        <w:rPr>
          <w:color w:val="000000" w:themeColor="text1"/>
        </w:rPr>
        <w:t xml:space="preserve"> </w:t>
      </w:r>
      <w:r w:rsidRPr="00201C83" w:rsidR="004B5DD5">
        <w:rPr>
          <w:color w:val="000000" w:themeColor="text1"/>
        </w:rPr>
        <w:t>construction canon</w:t>
      </w:r>
      <w:r w:rsidRPr="00201C83">
        <w:rPr>
          <w:color w:val="000000" w:themeColor="text1"/>
        </w:rPr>
        <w:t xml:space="preserve"> </w:t>
      </w:r>
      <w:r w:rsidRPr="00201C83" w:rsidR="00704A8D">
        <w:rPr>
          <w:color w:val="000000" w:themeColor="text1"/>
        </w:rPr>
        <w:t>provides</w:t>
      </w:r>
      <w:r w:rsidRPr="00201C83">
        <w:rPr>
          <w:color w:val="000000" w:themeColor="text1"/>
        </w:rPr>
        <w:t xml:space="preserve"> that</w:t>
      </w:r>
      <w:r w:rsidRPr="00201C83" w:rsidR="00574175">
        <w:rPr>
          <w:color w:val="000000" w:themeColor="text1"/>
        </w:rPr>
        <w:t>,</w:t>
      </w:r>
      <w:r w:rsidRPr="00201C83">
        <w:rPr>
          <w:color w:val="000000" w:themeColor="text1"/>
        </w:rPr>
        <w:t xml:space="preserve"> </w:t>
      </w:r>
      <w:r w:rsidRPr="00201C83" w:rsidR="004B5DD5">
        <w:rPr>
          <w:color w:val="000000" w:themeColor="text1"/>
        </w:rPr>
        <w:t xml:space="preserve">when Congress </w:t>
      </w:r>
      <w:r w:rsidR="006D5BFD">
        <w:rPr>
          <w:color w:val="000000" w:themeColor="text1"/>
        </w:rPr>
        <w:t xml:space="preserve">has </w:t>
      </w:r>
      <w:r w:rsidRPr="00201C83" w:rsidR="006D5BFD">
        <w:rPr>
          <w:color w:val="000000" w:themeColor="text1"/>
        </w:rPr>
        <w:t>adopt</w:t>
      </w:r>
      <w:r w:rsidR="006D5BFD">
        <w:rPr>
          <w:color w:val="000000" w:themeColor="text1"/>
        </w:rPr>
        <w:t>ed</w:t>
      </w:r>
      <w:r w:rsidRPr="00201C83" w:rsidR="006D5BFD">
        <w:rPr>
          <w:color w:val="000000" w:themeColor="text1"/>
        </w:rPr>
        <w:t xml:space="preserve"> </w:t>
      </w:r>
      <w:r w:rsidRPr="00201C83" w:rsidR="004B5DD5">
        <w:rPr>
          <w:color w:val="000000" w:themeColor="text1"/>
        </w:rPr>
        <w:t xml:space="preserve">language from </w:t>
      </w:r>
      <w:r w:rsidRPr="00201C83" w:rsidR="0057090F">
        <w:rPr>
          <w:color w:val="000000" w:themeColor="text1"/>
        </w:rPr>
        <w:t xml:space="preserve">authoritative </w:t>
      </w:r>
      <w:r w:rsidRPr="00201C83" w:rsidR="004B5DD5">
        <w:rPr>
          <w:color w:val="000000" w:themeColor="text1"/>
        </w:rPr>
        <w:t xml:space="preserve">decisional law, courts presume that Congress also intended to import the judicial and administrative interpretations of that language, unless there is clear indication to the contrary. </w:t>
      </w:r>
      <w:r w:rsidRPr="00201C83" w:rsidR="004B5DD5">
        <w:rPr>
          <w:i/>
          <w:color w:val="000000" w:themeColor="text1"/>
        </w:rPr>
        <w:t>See</w:t>
      </w:r>
      <w:r w:rsidRPr="00201C83" w:rsidR="00574175">
        <w:rPr>
          <w:i/>
          <w:color w:val="000000" w:themeColor="text1"/>
        </w:rPr>
        <w:t>, e.g.</w:t>
      </w:r>
      <w:r w:rsidRPr="00E554C3" w:rsidR="00574175">
        <w:rPr>
          <w:iCs/>
          <w:color w:val="000000" w:themeColor="text1"/>
        </w:rPr>
        <w:t>,</w:t>
      </w:r>
      <w:r w:rsidRPr="00E554C3" w:rsidR="004B5DD5">
        <w:rPr>
          <w:iCs/>
          <w:color w:val="000000" w:themeColor="text1"/>
        </w:rPr>
        <w:t xml:space="preserve"> </w:t>
      </w:r>
      <w:r w:rsidRPr="00201C83" w:rsidR="004B5DD5">
        <w:rPr>
          <w:i/>
          <w:iCs/>
          <w:color w:val="000000" w:themeColor="text1"/>
        </w:rPr>
        <w:t>Williams v. Taylor</w:t>
      </w:r>
      <w:r w:rsidRPr="00201C83" w:rsidR="004B5DD5">
        <w:rPr>
          <w:color w:val="000000" w:themeColor="text1"/>
        </w:rPr>
        <w:t>, 529 U.S. 420, 434 (2000) (explaining that “[w]hen the words of the Court are used in a later statute governing the same subject matter,” courts should “give the words the same meaning in the absence of specific direction to the contrary”).</w:t>
      </w:r>
      <w:r w:rsidRPr="00201C83" w:rsidR="00DC7AA3">
        <w:rPr>
          <w:color w:val="000000" w:themeColor="text1"/>
        </w:rPr>
        <w:t xml:space="preserve"> </w:t>
      </w:r>
      <w:r w:rsidRPr="00201C83" w:rsidR="006E22AB">
        <w:rPr>
          <w:i/>
          <w:iCs/>
          <w:color w:val="000000" w:themeColor="text1"/>
        </w:rPr>
        <w:t>See also, e.g.</w:t>
      </w:r>
      <w:r w:rsidRPr="00201C83" w:rsidR="006E22AB">
        <w:rPr>
          <w:color w:val="000000" w:themeColor="text1"/>
        </w:rPr>
        <w:t xml:space="preserve">, </w:t>
      </w:r>
      <w:r w:rsidRPr="00201C83" w:rsidR="006E22AB">
        <w:rPr>
          <w:i/>
          <w:iCs/>
          <w:color w:val="000000" w:themeColor="text1"/>
        </w:rPr>
        <w:t>FDA v. Brown &amp; Williamson Tobacco Corp.</w:t>
      </w:r>
      <w:r w:rsidRPr="00201C83" w:rsidR="006E22AB">
        <w:rPr>
          <w:color w:val="000000" w:themeColor="text1"/>
        </w:rPr>
        <w:t>, 529 U.S. 120, 144–46 (2000) (</w:t>
      </w:r>
      <w:r w:rsidR="00964507">
        <w:rPr>
          <w:color w:val="000000" w:themeColor="text1"/>
        </w:rPr>
        <w:t xml:space="preserve">discussing </w:t>
      </w:r>
      <w:r w:rsidRPr="00201C83" w:rsidR="006E22AB">
        <w:rPr>
          <w:color w:val="000000" w:themeColor="text1"/>
        </w:rPr>
        <w:t>Congress</w:t>
      </w:r>
      <w:r w:rsidR="00964507">
        <w:rPr>
          <w:color w:val="000000" w:themeColor="text1"/>
        </w:rPr>
        <w:t>’s</w:t>
      </w:r>
      <w:r w:rsidRPr="00201C83" w:rsidR="006E22AB">
        <w:rPr>
          <w:color w:val="000000" w:themeColor="text1"/>
        </w:rPr>
        <w:t xml:space="preserve"> </w:t>
      </w:r>
      <w:r w:rsidRPr="00201C83" w:rsidR="00964507">
        <w:rPr>
          <w:color w:val="000000" w:themeColor="text1"/>
        </w:rPr>
        <w:t>incorporat</w:t>
      </w:r>
      <w:r w:rsidR="00964507">
        <w:rPr>
          <w:color w:val="000000" w:themeColor="text1"/>
        </w:rPr>
        <w:t>ion of</w:t>
      </w:r>
      <w:r w:rsidRPr="00201C83" w:rsidR="00964507">
        <w:rPr>
          <w:color w:val="000000" w:themeColor="text1"/>
        </w:rPr>
        <w:t xml:space="preserve"> </w:t>
      </w:r>
      <w:r w:rsidRPr="00201C83" w:rsidR="006E22AB">
        <w:rPr>
          <w:color w:val="000000" w:themeColor="text1"/>
        </w:rPr>
        <w:t xml:space="preserve">prior agency action by Food and Drug Administration into subsequently codified statute); </w:t>
      </w:r>
      <w:r w:rsidRPr="00201C83" w:rsidR="006E22AB">
        <w:rPr>
          <w:i/>
          <w:iCs/>
          <w:color w:val="000000" w:themeColor="text1"/>
        </w:rPr>
        <w:t>Zuni Pub. Sch. Dist. No. 89 v. Dep’t of Educ.</w:t>
      </w:r>
      <w:r w:rsidRPr="00201C83" w:rsidR="006E22AB">
        <w:rPr>
          <w:color w:val="000000" w:themeColor="text1"/>
        </w:rPr>
        <w:t xml:space="preserve">, 550 U.S. 81, 90–91 (2007) (noting Congress adopted language originally drafted by the Secretary of Education without amendment and crediting this as evidence Congress did not intend to disturb the agency’s interpretation of the relevant statutory language). </w:t>
      </w:r>
      <w:r w:rsidRPr="00201C83" w:rsidR="00B832E2">
        <w:rPr>
          <w:color w:val="000000" w:themeColor="text1"/>
        </w:rPr>
        <w:t>With respect to the</w:t>
      </w:r>
      <w:r w:rsidRPr="00201C83" w:rsidR="6188A9B1">
        <w:rPr>
          <w:color w:val="000000" w:themeColor="text1"/>
        </w:rPr>
        <w:t xml:space="preserve"> INA </w:t>
      </w:r>
      <w:r w:rsidRPr="00201C83" w:rsidR="00B832E2">
        <w:rPr>
          <w:color w:val="000000" w:themeColor="text1"/>
        </w:rPr>
        <w:t>“conviction” definition,</w:t>
      </w:r>
      <w:r w:rsidR="00436DC9">
        <w:rPr>
          <w:color w:val="000000" w:themeColor="text1"/>
        </w:rPr>
        <w:t xml:space="preserve"> where Congress codified the very terms of art found in prior decision</w:t>
      </w:r>
      <w:r w:rsidR="008B4DEC">
        <w:rPr>
          <w:color w:val="000000" w:themeColor="text1"/>
        </w:rPr>
        <w:t>al</w:t>
      </w:r>
      <w:r w:rsidR="00436DC9">
        <w:rPr>
          <w:color w:val="000000" w:themeColor="text1"/>
        </w:rPr>
        <w:t xml:space="preserve"> law, the canon makes apparent that</w:t>
      </w:r>
      <w:r w:rsidRPr="00201C83" w:rsidR="00B832E2">
        <w:rPr>
          <w:color w:val="000000" w:themeColor="text1"/>
        </w:rPr>
        <w:t xml:space="preserve"> Congress</w:t>
      </w:r>
      <w:r w:rsidR="00436DC9">
        <w:rPr>
          <w:color w:val="000000" w:themeColor="text1"/>
        </w:rPr>
        <w:t xml:space="preserve"> intended to incorporate this longstanding deference </w:t>
      </w:r>
      <w:r w:rsidRPr="00201C83" w:rsidR="00B832E2">
        <w:rPr>
          <w:color w:val="000000" w:themeColor="text1"/>
        </w:rPr>
        <w:t xml:space="preserve">to </w:t>
      </w:r>
      <w:r w:rsidR="003F2D98">
        <w:rPr>
          <w:color w:val="000000" w:themeColor="text1"/>
        </w:rPr>
        <w:t>s</w:t>
      </w:r>
      <w:r w:rsidRPr="00201C83" w:rsidR="003F2D98">
        <w:rPr>
          <w:color w:val="000000" w:themeColor="text1"/>
        </w:rPr>
        <w:t xml:space="preserve">tate </w:t>
      </w:r>
      <w:r w:rsidRPr="00201C83" w:rsidR="00B832E2">
        <w:rPr>
          <w:color w:val="000000" w:themeColor="text1"/>
        </w:rPr>
        <w:t xml:space="preserve">vacatur and expungement decisions in proceedings under the Act.  </w:t>
      </w:r>
    </w:p>
    <w:p w:rsidRPr="00201C83" w:rsidR="00D272F5" w:rsidP="006E22AB" w:rsidRDefault="00D272F5" w14:paraId="54214B98" w14:textId="77777777">
      <w:pPr>
        <w:ind w:firstLine="720"/>
        <w:rPr>
          <w:color w:val="000000" w:themeColor="text1"/>
        </w:rPr>
      </w:pPr>
    </w:p>
    <w:p w:rsidR="002B3C48" w:rsidP="00B728F8" w:rsidRDefault="00B832E2" w14:paraId="3439CBBD" w14:textId="41975124">
      <w:pPr>
        <w:ind w:firstLine="720"/>
        <w:rPr>
          <w:color w:val="000000" w:themeColor="text1"/>
        </w:rPr>
      </w:pPr>
      <w:r w:rsidRPr="00201C83">
        <w:rPr>
          <w:color w:val="000000" w:themeColor="text1"/>
        </w:rPr>
        <w:t xml:space="preserve">As discussed above, for decades </w:t>
      </w:r>
      <w:r w:rsidRPr="00201C83" w:rsidR="00CC3165">
        <w:rPr>
          <w:color w:val="000000" w:themeColor="text1"/>
        </w:rPr>
        <w:t xml:space="preserve">BIA precedent </w:t>
      </w:r>
      <w:r w:rsidRPr="00201C83" w:rsidR="00C05CF7">
        <w:rPr>
          <w:color w:val="000000" w:themeColor="text1"/>
        </w:rPr>
        <w:t>deferred to state law regarding whether a disposition constitutes a conviction</w:t>
      </w:r>
      <w:r w:rsidRPr="00201C83" w:rsidR="00DC18BB">
        <w:rPr>
          <w:color w:val="000000" w:themeColor="text1"/>
        </w:rPr>
        <w:t xml:space="preserve"> and </w:t>
      </w:r>
      <w:r w:rsidRPr="00201C83" w:rsidR="00574175">
        <w:rPr>
          <w:color w:val="000000" w:themeColor="text1"/>
        </w:rPr>
        <w:t xml:space="preserve">generally </w:t>
      </w:r>
      <w:r w:rsidRPr="00201C83" w:rsidR="00DC18BB">
        <w:rPr>
          <w:color w:val="000000" w:themeColor="text1"/>
        </w:rPr>
        <w:t>held</w:t>
      </w:r>
      <w:r w:rsidRPr="00201C83" w:rsidR="00B53A33">
        <w:rPr>
          <w:color w:val="000000" w:themeColor="text1"/>
        </w:rPr>
        <w:t xml:space="preserve"> </w:t>
      </w:r>
      <w:r w:rsidRPr="00201C83" w:rsidR="00CC3165">
        <w:rPr>
          <w:color w:val="000000" w:themeColor="text1"/>
        </w:rPr>
        <w:t xml:space="preserve">that </w:t>
      </w:r>
      <w:r w:rsidRPr="00201C83" w:rsidR="00B53A33">
        <w:rPr>
          <w:color w:val="000000" w:themeColor="text1"/>
        </w:rPr>
        <w:t xml:space="preserve">vacated or expunged </w:t>
      </w:r>
      <w:r w:rsidRPr="00201C83" w:rsidR="00CC3165">
        <w:rPr>
          <w:color w:val="000000" w:themeColor="text1"/>
        </w:rPr>
        <w:t>convictions were not convictions for immigration purposes</w:t>
      </w:r>
      <w:r w:rsidRPr="00201C83" w:rsidR="6188A9B1">
        <w:rPr>
          <w:color w:val="000000" w:themeColor="text1"/>
        </w:rPr>
        <w:t>.</w:t>
      </w:r>
      <w:r w:rsidRPr="00201C83" w:rsidR="00C05CF7">
        <w:rPr>
          <w:color w:val="000000" w:themeColor="text1"/>
        </w:rPr>
        <w:t xml:space="preserve"> </w:t>
      </w:r>
      <w:r w:rsidRPr="00201C83" w:rsidR="00C05CF7">
        <w:rPr>
          <w:i/>
          <w:color w:val="000000" w:themeColor="text1"/>
        </w:rPr>
        <w:t xml:space="preserve">See </w:t>
      </w:r>
      <w:proofErr w:type="gramStart"/>
      <w:r w:rsidRPr="00201C83" w:rsidR="00C05CF7">
        <w:rPr>
          <w:i/>
          <w:color w:val="000000" w:themeColor="text1"/>
        </w:rPr>
        <w:t>supra</w:t>
      </w:r>
      <w:r w:rsidRPr="00201C83" w:rsidR="00C05CF7">
        <w:rPr>
          <w:color w:val="000000" w:themeColor="text1"/>
        </w:rPr>
        <w:t xml:space="preserve"> </w:t>
      </w:r>
      <w:r w:rsidRPr="006D5BFD" w:rsidR="00C05CF7">
        <w:rPr>
          <w:color w:val="000000" w:themeColor="text1"/>
        </w:rPr>
        <w:t>Section</w:t>
      </w:r>
      <w:proofErr w:type="gramEnd"/>
      <w:r w:rsidRPr="006D5BFD" w:rsidR="00C05CF7">
        <w:rPr>
          <w:color w:val="000000" w:themeColor="text1"/>
        </w:rPr>
        <w:t xml:space="preserve"> I.A. </w:t>
      </w:r>
      <w:r w:rsidRPr="00201C83" w:rsidR="00C05CF7">
        <w:rPr>
          <w:color w:val="000000" w:themeColor="text1"/>
        </w:rPr>
        <w:t>(discussing pre-IIRIRA agency case law)</w:t>
      </w:r>
      <w:r w:rsidRPr="00201C83" w:rsidR="00DC7AA3">
        <w:rPr>
          <w:color w:val="000000" w:themeColor="text1"/>
        </w:rPr>
        <w:t>. I</w:t>
      </w:r>
      <w:r w:rsidRPr="00201C83" w:rsidR="00B53A33">
        <w:rPr>
          <w:color w:val="000000" w:themeColor="text1"/>
        </w:rPr>
        <w:t xml:space="preserve">n codifying the definition of “conviction” in the INA, </w:t>
      </w:r>
      <w:r w:rsidRPr="00201C83" w:rsidR="00936BD3">
        <w:rPr>
          <w:color w:val="000000" w:themeColor="text1"/>
        </w:rPr>
        <w:t xml:space="preserve">Congress adopted </w:t>
      </w:r>
      <w:r w:rsidRPr="00201C83" w:rsidR="00B53A33">
        <w:rPr>
          <w:color w:val="000000" w:themeColor="text1"/>
        </w:rPr>
        <w:t>almost verbatim the</w:t>
      </w:r>
      <w:r w:rsidRPr="00201C83">
        <w:rPr>
          <w:color w:val="000000" w:themeColor="text1"/>
        </w:rPr>
        <w:t xml:space="preserve"> terms of art and language in</w:t>
      </w:r>
      <w:r w:rsidRPr="00201C83" w:rsidR="00B53A33">
        <w:rPr>
          <w:color w:val="000000" w:themeColor="text1"/>
        </w:rPr>
        <w:t xml:space="preserve"> </w:t>
      </w:r>
      <w:r w:rsidRPr="00201C83" w:rsidR="00872486">
        <w:rPr>
          <w:color w:val="000000" w:themeColor="text1"/>
        </w:rPr>
        <w:t xml:space="preserve">the </w:t>
      </w:r>
      <w:r w:rsidRPr="00201C83" w:rsidR="00936BD3">
        <w:rPr>
          <w:i/>
          <w:iCs/>
          <w:color w:val="000000" w:themeColor="text1"/>
        </w:rPr>
        <w:t xml:space="preserve">Matter of </w:t>
      </w:r>
      <w:proofErr w:type="spellStart"/>
      <w:r w:rsidRPr="00201C83" w:rsidR="00936BD3">
        <w:rPr>
          <w:i/>
          <w:iCs/>
          <w:color w:val="000000" w:themeColor="text1"/>
        </w:rPr>
        <w:t>Ozkok</w:t>
      </w:r>
      <w:proofErr w:type="spellEnd"/>
      <w:r w:rsidRPr="00201C83" w:rsidR="00936BD3">
        <w:rPr>
          <w:color w:val="000000" w:themeColor="text1"/>
        </w:rPr>
        <w:t xml:space="preserve"> </w:t>
      </w:r>
      <w:r w:rsidRPr="00201C83" w:rsidR="00B53A33">
        <w:rPr>
          <w:color w:val="000000" w:themeColor="text1"/>
        </w:rPr>
        <w:t>definition</w:t>
      </w:r>
      <w:r w:rsidRPr="00201C83">
        <w:rPr>
          <w:color w:val="000000" w:themeColor="text1"/>
        </w:rPr>
        <w:t xml:space="preserve"> with a carefully circumscribed exception for certain withheld adjudications that are not material to expunged or vacated prior convictions. </w:t>
      </w:r>
      <w:r w:rsidRPr="00201C83">
        <w:rPr>
          <w:i/>
          <w:iCs/>
          <w:color w:val="000000" w:themeColor="text1"/>
        </w:rPr>
        <w:t xml:space="preserve">See </w:t>
      </w:r>
      <w:proofErr w:type="gramStart"/>
      <w:r w:rsidRPr="00201C83">
        <w:rPr>
          <w:i/>
          <w:iCs/>
          <w:color w:val="000000" w:themeColor="text1"/>
        </w:rPr>
        <w:t>supra</w:t>
      </w:r>
      <w:r w:rsidRPr="00201C83">
        <w:rPr>
          <w:color w:val="000000" w:themeColor="text1"/>
        </w:rPr>
        <w:t xml:space="preserve"> Section</w:t>
      </w:r>
      <w:proofErr w:type="gramEnd"/>
      <w:r w:rsidRPr="00201C83">
        <w:rPr>
          <w:color w:val="000000" w:themeColor="text1"/>
        </w:rPr>
        <w:t xml:space="preserve"> I.</w:t>
      </w:r>
      <w:r w:rsidRPr="00201C83" w:rsidR="00A43096">
        <w:rPr>
          <w:color w:val="000000" w:themeColor="text1"/>
        </w:rPr>
        <w:t xml:space="preserve">A. </w:t>
      </w:r>
      <w:r w:rsidRPr="00201C83" w:rsidR="00B53A33">
        <w:rPr>
          <w:color w:val="000000" w:themeColor="text1"/>
        </w:rPr>
        <w:t xml:space="preserve">Congress </w:t>
      </w:r>
      <w:r w:rsidRPr="00201C83" w:rsidR="00617E66">
        <w:rPr>
          <w:color w:val="000000" w:themeColor="text1"/>
        </w:rPr>
        <w:t xml:space="preserve">adopted the </w:t>
      </w:r>
      <w:r w:rsidRPr="00201C83" w:rsidR="00C21DF7">
        <w:rPr>
          <w:color w:val="000000" w:themeColor="text1"/>
        </w:rPr>
        <w:t xml:space="preserve">agency’s </w:t>
      </w:r>
      <w:r w:rsidRPr="00201C83" w:rsidR="00617E66">
        <w:rPr>
          <w:color w:val="000000" w:themeColor="text1"/>
        </w:rPr>
        <w:t xml:space="preserve">“formal judgment of guilt” </w:t>
      </w:r>
      <w:r w:rsidRPr="00201C83" w:rsidR="00C21DF7">
        <w:rPr>
          <w:color w:val="000000" w:themeColor="text1"/>
        </w:rPr>
        <w:t xml:space="preserve">conviction </w:t>
      </w:r>
      <w:r w:rsidRPr="00201C83" w:rsidR="00E926F9">
        <w:rPr>
          <w:color w:val="000000" w:themeColor="text1"/>
        </w:rPr>
        <w:t xml:space="preserve">category </w:t>
      </w:r>
      <w:r w:rsidRPr="00201C83" w:rsidR="00617E66">
        <w:rPr>
          <w:color w:val="000000" w:themeColor="text1"/>
        </w:rPr>
        <w:t>without alteration</w:t>
      </w:r>
      <w:r w:rsidRPr="00201C83" w:rsidR="00FE21B7">
        <w:rPr>
          <w:color w:val="000000" w:themeColor="text1"/>
        </w:rPr>
        <w:t xml:space="preserve">. </w:t>
      </w:r>
      <w:r w:rsidRPr="00201C83" w:rsidR="00E926F9">
        <w:rPr>
          <w:color w:val="000000" w:themeColor="text1"/>
        </w:rPr>
        <w:t>INA § 101(a)(48)(A).</w:t>
      </w:r>
      <w:r w:rsidRPr="00201C83" w:rsidR="00A43096">
        <w:rPr>
          <w:color w:val="000000" w:themeColor="text1"/>
        </w:rPr>
        <w:t xml:space="preserve"> As the legislative history confirms, the codification of the “conviction” definition was meant only to address certain withheld adjudications, not formal judgments of guilt, and not judgments that have been expunged or vacated. </w:t>
      </w:r>
      <w:r w:rsidRPr="00201C83" w:rsidR="00A43096">
        <w:rPr>
          <w:i/>
          <w:iCs/>
          <w:color w:val="000000" w:themeColor="text1"/>
        </w:rPr>
        <w:t xml:space="preserve">See </w:t>
      </w:r>
      <w:proofErr w:type="gramStart"/>
      <w:r w:rsidRPr="00201C83" w:rsidR="00A43096">
        <w:rPr>
          <w:i/>
          <w:iCs/>
          <w:color w:val="000000" w:themeColor="text1"/>
        </w:rPr>
        <w:t>supra</w:t>
      </w:r>
      <w:r w:rsidRPr="00201C83" w:rsidR="00A43096">
        <w:rPr>
          <w:color w:val="000000" w:themeColor="text1"/>
        </w:rPr>
        <w:t xml:space="preserve"> Section </w:t>
      </w:r>
      <w:r w:rsidR="00736188">
        <w:rPr>
          <w:color w:val="000000" w:themeColor="text1"/>
        </w:rPr>
        <w:t>III</w:t>
      </w:r>
      <w:proofErr w:type="gramEnd"/>
      <w:r w:rsidRPr="00201C83" w:rsidR="00A43096">
        <w:rPr>
          <w:color w:val="000000" w:themeColor="text1"/>
        </w:rPr>
        <w:t>. (</w:t>
      </w:r>
      <w:proofErr w:type="gramStart"/>
      <w:r w:rsidRPr="00201C83" w:rsidR="00A43096">
        <w:rPr>
          <w:color w:val="000000" w:themeColor="text1"/>
        </w:rPr>
        <w:t>reviewing</w:t>
      </w:r>
      <w:proofErr w:type="gramEnd"/>
      <w:r w:rsidRPr="00201C83" w:rsidR="00A43096">
        <w:rPr>
          <w:color w:val="000000" w:themeColor="text1"/>
        </w:rPr>
        <w:t xml:space="preserve"> relevant legislative history). It is apparent that</w:t>
      </w:r>
      <w:r w:rsidRPr="00201C83" w:rsidR="00B53A33">
        <w:rPr>
          <w:color w:val="000000" w:themeColor="text1"/>
        </w:rPr>
        <w:t xml:space="preserve"> Congress inten</w:t>
      </w:r>
      <w:r w:rsidRPr="00201C83" w:rsidR="00A43096">
        <w:rPr>
          <w:color w:val="000000" w:themeColor="text1"/>
        </w:rPr>
        <w:t>ded</w:t>
      </w:r>
      <w:r w:rsidRPr="00201C83" w:rsidR="00B53A33">
        <w:rPr>
          <w:color w:val="000000" w:themeColor="text1"/>
        </w:rPr>
        <w:t xml:space="preserve"> to preserve the </w:t>
      </w:r>
      <w:r w:rsidRPr="00201C83" w:rsidR="00E926F9">
        <w:rPr>
          <w:color w:val="000000" w:themeColor="text1"/>
        </w:rPr>
        <w:t>pre-existing</w:t>
      </w:r>
      <w:r w:rsidRPr="00201C83" w:rsidR="00B53A33">
        <w:rPr>
          <w:color w:val="000000" w:themeColor="text1"/>
        </w:rPr>
        <w:t xml:space="preserve"> meaning of “conviction</w:t>
      </w:r>
      <w:r w:rsidRPr="00201C83" w:rsidR="00574175">
        <w:rPr>
          <w:color w:val="000000" w:themeColor="text1"/>
        </w:rPr>
        <w:t>,</w:t>
      </w:r>
      <w:r w:rsidRPr="00201C83" w:rsidR="00B53A33">
        <w:rPr>
          <w:color w:val="000000" w:themeColor="text1"/>
        </w:rPr>
        <w:t xml:space="preserve">” which </w:t>
      </w:r>
      <w:r w:rsidRPr="00201C83" w:rsidR="00872486">
        <w:rPr>
          <w:color w:val="000000" w:themeColor="text1"/>
        </w:rPr>
        <w:lastRenderedPageBreak/>
        <w:t xml:space="preserve">generally </w:t>
      </w:r>
      <w:r w:rsidRPr="00201C83" w:rsidR="00B53A33">
        <w:rPr>
          <w:color w:val="000000" w:themeColor="text1"/>
        </w:rPr>
        <w:t xml:space="preserve">deferred to </w:t>
      </w:r>
      <w:r w:rsidR="003F2D98">
        <w:rPr>
          <w:color w:val="000000" w:themeColor="text1"/>
        </w:rPr>
        <w:t>s</w:t>
      </w:r>
      <w:r w:rsidRPr="00201C83" w:rsidR="003F2D98">
        <w:rPr>
          <w:color w:val="000000" w:themeColor="text1"/>
        </w:rPr>
        <w:t xml:space="preserve">tates’ </w:t>
      </w:r>
      <w:r w:rsidRPr="00201C83" w:rsidR="00B53A33">
        <w:rPr>
          <w:color w:val="000000" w:themeColor="text1"/>
        </w:rPr>
        <w:t xml:space="preserve">own categorization of their criminal dispositions, including for vacated and expunged convictions. </w:t>
      </w:r>
    </w:p>
    <w:p w:rsidRPr="00201C83" w:rsidR="00D272F5" w:rsidP="00B728F8" w:rsidRDefault="00D272F5" w14:paraId="5B17023D" w14:textId="77777777">
      <w:pPr>
        <w:ind w:firstLine="720"/>
        <w:rPr>
          <w:color w:val="000000" w:themeColor="text1"/>
        </w:rPr>
      </w:pPr>
    </w:p>
    <w:p w:rsidRPr="00201C83" w:rsidR="006D6CF4" w:rsidP="004838D7" w:rsidRDefault="004528FD" w14:paraId="74B356B7" w14:textId="6F3EB96A">
      <w:pPr>
        <w:ind w:firstLine="720"/>
        <w:rPr>
          <w:color w:val="000000" w:themeColor="text1"/>
        </w:rPr>
      </w:pPr>
      <w:r w:rsidRPr="00201C83">
        <w:rPr>
          <w:color w:val="000000" w:themeColor="text1"/>
        </w:rPr>
        <w:t>T</w:t>
      </w:r>
      <w:r w:rsidRPr="00201C83" w:rsidR="6188A9B1">
        <w:rPr>
          <w:color w:val="000000" w:themeColor="text1"/>
        </w:rPr>
        <w:t>he prior</w:t>
      </w:r>
      <w:r w:rsidRPr="00201C83" w:rsidR="35E8050C">
        <w:rPr>
          <w:color w:val="000000" w:themeColor="text1"/>
        </w:rPr>
        <w:t xml:space="preserve"> </w:t>
      </w:r>
      <w:r w:rsidRPr="00201C83" w:rsidR="6188A9B1">
        <w:rPr>
          <w:color w:val="000000" w:themeColor="text1"/>
        </w:rPr>
        <w:t>construction canon</w:t>
      </w:r>
      <w:r w:rsidRPr="00201C83">
        <w:rPr>
          <w:color w:val="000000" w:themeColor="text1"/>
        </w:rPr>
        <w:t xml:space="preserve"> requires </w:t>
      </w:r>
      <w:r w:rsidRPr="00201C83" w:rsidR="00CB5B47">
        <w:rPr>
          <w:color w:val="000000" w:themeColor="text1"/>
        </w:rPr>
        <w:t>that statutes be</w:t>
      </w:r>
      <w:r w:rsidRPr="00201C83">
        <w:rPr>
          <w:color w:val="000000" w:themeColor="text1"/>
        </w:rPr>
        <w:t xml:space="preserve"> interpret</w:t>
      </w:r>
      <w:r w:rsidRPr="00201C83" w:rsidR="00CB5B47">
        <w:rPr>
          <w:color w:val="000000" w:themeColor="text1"/>
        </w:rPr>
        <w:t>ed</w:t>
      </w:r>
      <w:r w:rsidRPr="00201C83">
        <w:rPr>
          <w:color w:val="000000" w:themeColor="text1"/>
        </w:rPr>
        <w:t xml:space="preserve"> </w:t>
      </w:r>
      <w:r w:rsidRPr="00201C83" w:rsidR="00CB5B47">
        <w:rPr>
          <w:color w:val="000000" w:themeColor="text1"/>
        </w:rPr>
        <w:t xml:space="preserve">to be </w:t>
      </w:r>
      <w:r w:rsidRPr="00201C83">
        <w:rPr>
          <w:color w:val="000000" w:themeColor="text1"/>
        </w:rPr>
        <w:t>consistent with prior jurisprudence when—as here—Congress adopts the words of pr</w:t>
      </w:r>
      <w:r w:rsidRPr="00201C83" w:rsidR="00721182">
        <w:rPr>
          <w:color w:val="000000" w:themeColor="text1"/>
        </w:rPr>
        <w:t>ior</w:t>
      </w:r>
      <w:r w:rsidRPr="00201C83">
        <w:rPr>
          <w:color w:val="000000" w:themeColor="text1"/>
        </w:rPr>
        <w:t xml:space="preserve"> court or agency precedent </w:t>
      </w:r>
      <w:r w:rsidRPr="00201C83" w:rsidR="00721182">
        <w:rPr>
          <w:color w:val="000000" w:themeColor="text1"/>
        </w:rPr>
        <w:t>i</w:t>
      </w:r>
      <w:r w:rsidRPr="00201C83">
        <w:rPr>
          <w:color w:val="000000" w:themeColor="text1"/>
        </w:rPr>
        <w:t xml:space="preserve">n a statute </w:t>
      </w:r>
      <w:r w:rsidRPr="00201C83" w:rsidR="00721182">
        <w:rPr>
          <w:color w:val="000000" w:themeColor="text1"/>
        </w:rPr>
        <w:t xml:space="preserve">that </w:t>
      </w:r>
      <w:r w:rsidRPr="00201C83">
        <w:rPr>
          <w:color w:val="000000" w:themeColor="text1"/>
        </w:rPr>
        <w:t>govern</w:t>
      </w:r>
      <w:r w:rsidRPr="00201C83" w:rsidR="00721182">
        <w:rPr>
          <w:color w:val="000000" w:themeColor="text1"/>
        </w:rPr>
        <w:t>s</w:t>
      </w:r>
      <w:r w:rsidRPr="00201C83">
        <w:rPr>
          <w:color w:val="000000" w:themeColor="text1"/>
        </w:rPr>
        <w:t xml:space="preserve"> the same subject matter</w:t>
      </w:r>
      <w:r w:rsidRPr="00201C83" w:rsidR="0027787E">
        <w:rPr>
          <w:color w:val="000000" w:themeColor="text1"/>
        </w:rPr>
        <w:t xml:space="preserve">, and </w:t>
      </w:r>
      <w:r w:rsidR="00D903CD">
        <w:rPr>
          <w:color w:val="000000" w:themeColor="text1"/>
        </w:rPr>
        <w:t>“</w:t>
      </w:r>
      <w:r w:rsidRPr="00201C83" w:rsidR="0027787E">
        <w:rPr>
          <w:color w:val="000000" w:themeColor="text1"/>
        </w:rPr>
        <w:t xml:space="preserve">in the absence of </w:t>
      </w:r>
      <w:r w:rsidRPr="00201C83" w:rsidR="00721182">
        <w:rPr>
          <w:color w:val="000000" w:themeColor="text1"/>
        </w:rPr>
        <w:t xml:space="preserve">specific direction to the contrary.” </w:t>
      </w:r>
      <w:r w:rsidRPr="00201C83" w:rsidR="00721182">
        <w:rPr>
          <w:i/>
          <w:color w:val="000000" w:themeColor="text1"/>
        </w:rPr>
        <w:t>Williams</w:t>
      </w:r>
      <w:r w:rsidRPr="00201C83" w:rsidR="00721182">
        <w:rPr>
          <w:color w:val="000000" w:themeColor="text1"/>
        </w:rPr>
        <w:t>, 529 U.S. at 434.</w:t>
      </w:r>
      <w:r w:rsidRPr="00201C83" w:rsidR="6188A9B1">
        <w:rPr>
          <w:color w:val="000000" w:themeColor="text1"/>
        </w:rPr>
        <w:t xml:space="preserve"> </w:t>
      </w:r>
      <w:r w:rsidRPr="00201C83" w:rsidR="00CB5B47">
        <w:rPr>
          <w:color w:val="000000" w:themeColor="text1"/>
        </w:rPr>
        <w:t xml:space="preserve">The majority opinion in </w:t>
      </w:r>
      <w:r w:rsidRPr="00201C83" w:rsidR="00721182">
        <w:rPr>
          <w:i/>
          <w:color w:val="000000" w:themeColor="text1"/>
        </w:rPr>
        <w:t>Roldan</w:t>
      </w:r>
      <w:r w:rsidRPr="00201C83" w:rsidR="00721182">
        <w:rPr>
          <w:color w:val="000000" w:themeColor="text1"/>
        </w:rPr>
        <w:t xml:space="preserve"> and</w:t>
      </w:r>
      <w:r w:rsidRPr="00201C83" w:rsidR="00CB5B47">
        <w:rPr>
          <w:color w:val="000000" w:themeColor="text1"/>
        </w:rPr>
        <w:t xml:space="preserve"> the decision in</w:t>
      </w:r>
      <w:r w:rsidRPr="00201C83" w:rsidR="00721182">
        <w:rPr>
          <w:color w:val="000000" w:themeColor="text1"/>
        </w:rPr>
        <w:t xml:space="preserve"> </w:t>
      </w:r>
      <w:r w:rsidRPr="00201C83" w:rsidR="00721182">
        <w:rPr>
          <w:i/>
          <w:color w:val="000000" w:themeColor="text1"/>
        </w:rPr>
        <w:t>Pickering</w:t>
      </w:r>
      <w:r w:rsidRPr="00201C83" w:rsidR="00721182">
        <w:rPr>
          <w:color w:val="000000" w:themeColor="text1"/>
        </w:rPr>
        <w:t xml:space="preserve"> fail to consider</w:t>
      </w:r>
      <w:r w:rsidRPr="00201C83" w:rsidR="00CB5B47">
        <w:rPr>
          <w:color w:val="000000" w:themeColor="text1"/>
        </w:rPr>
        <w:t xml:space="preserve"> and account for</w:t>
      </w:r>
      <w:r w:rsidRPr="00201C83" w:rsidR="00721182">
        <w:rPr>
          <w:color w:val="000000" w:themeColor="text1"/>
        </w:rPr>
        <w:t xml:space="preserve"> prior agency and judicial construction of the conviction</w:t>
      </w:r>
      <w:r w:rsidRPr="00201C83" w:rsidR="00CB5B47">
        <w:rPr>
          <w:color w:val="000000" w:themeColor="text1"/>
        </w:rPr>
        <w:t xml:space="preserve"> term, and wrongly misidentify congressional intent. </w:t>
      </w:r>
      <w:r w:rsidR="00436DC9">
        <w:rPr>
          <w:color w:val="000000" w:themeColor="text1"/>
        </w:rPr>
        <w:t>In addition to the statute’s plain text and legislative history</w:t>
      </w:r>
      <w:r w:rsidRPr="00201C83" w:rsidR="00C21DF7">
        <w:rPr>
          <w:color w:val="000000" w:themeColor="text1"/>
        </w:rPr>
        <w:t>, the prior construction canon makes even clearer</w:t>
      </w:r>
      <w:r w:rsidRPr="00201C83" w:rsidR="00CB5B47">
        <w:rPr>
          <w:color w:val="000000" w:themeColor="text1"/>
        </w:rPr>
        <w:t xml:space="preserve"> that Congress intended to continue to make immigration consequences dependent on </w:t>
      </w:r>
      <w:r w:rsidR="003F2D98">
        <w:rPr>
          <w:color w:val="000000" w:themeColor="text1"/>
        </w:rPr>
        <w:t>s</w:t>
      </w:r>
      <w:r w:rsidRPr="00201C83" w:rsidR="003F2D98">
        <w:rPr>
          <w:color w:val="000000" w:themeColor="text1"/>
        </w:rPr>
        <w:t xml:space="preserve">tate </w:t>
      </w:r>
      <w:r w:rsidRPr="00201C83" w:rsidR="00CB5B47">
        <w:rPr>
          <w:color w:val="000000" w:themeColor="text1"/>
        </w:rPr>
        <w:t xml:space="preserve">disposition of criminal charges and to defer to the </w:t>
      </w:r>
      <w:r w:rsidR="00436DC9">
        <w:rPr>
          <w:color w:val="000000" w:themeColor="text1"/>
        </w:rPr>
        <w:t>S</w:t>
      </w:r>
      <w:r w:rsidRPr="00201C83" w:rsidR="00436DC9">
        <w:rPr>
          <w:color w:val="000000" w:themeColor="text1"/>
        </w:rPr>
        <w:t xml:space="preserve">tates </w:t>
      </w:r>
      <w:r w:rsidRPr="00201C83" w:rsidR="00CB5B47">
        <w:rPr>
          <w:color w:val="000000" w:themeColor="text1"/>
        </w:rPr>
        <w:t>on questions of co</w:t>
      </w:r>
      <w:r w:rsidRPr="00201C83" w:rsidR="00867C07">
        <w:rPr>
          <w:color w:val="000000" w:themeColor="text1"/>
        </w:rPr>
        <w:t>n</w:t>
      </w:r>
      <w:r w:rsidRPr="00201C83" w:rsidR="00CB5B47">
        <w:rPr>
          <w:color w:val="000000" w:themeColor="text1"/>
        </w:rPr>
        <w:t xml:space="preserve">victions. </w:t>
      </w:r>
      <w:r w:rsidRPr="00201C83" w:rsidR="00E926F9">
        <w:rPr>
          <w:i/>
          <w:color w:val="000000" w:themeColor="text1"/>
        </w:rPr>
        <w:t>Roldan</w:t>
      </w:r>
      <w:r w:rsidRPr="00201C83" w:rsidR="00E926F9">
        <w:rPr>
          <w:color w:val="000000" w:themeColor="text1"/>
        </w:rPr>
        <w:t xml:space="preserve"> and </w:t>
      </w:r>
      <w:r w:rsidRPr="00201C83" w:rsidR="00E926F9">
        <w:rPr>
          <w:i/>
          <w:color w:val="000000" w:themeColor="text1"/>
        </w:rPr>
        <w:t>Pickering</w:t>
      </w:r>
      <w:r w:rsidRPr="00201C83" w:rsidR="00721182">
        <w:rPr>
          <w:color w:val="000000" w:themeColor="text1"/>
        </w:rPr>
        <w:t xml:space="preserve"> </w:t>
      </w:r>
      <w:r w:rsidRPr="00201C83" w:rsidR="00CB5B47">
        <w:rPr>
          <w:color w:val="000000" w:themeColor="text1"/>
        </w:rPr>
        <w:t xml:space="preserve">therefore </w:t>
      </w:r>
      <w:r w:rsidRPr="00201C83" w:rsidR="00E926F9">
        <w:rPr>
          <w:color w:val="000000" w:themeColor="text1"/>
        </w:rPr>
        <w:t>must be overruled</w:t>
      </w:r>
      <w:r w:rsidRPr="00201C83" w:rsidR="6188A9B1">
        <w:rPr>
          <w:color w:val="000000" w:themeColor="text1"/>
        </w:rPr>
        <w:t xml:space="preserve">.  </w:t>
      </w:r>
    </w:p>
    <w:p w:rsidRPr="00201C83" w:rsidR="002B3C48" w:rsidP="004838D7" w:rsidRDefault="002B3C48" w14:paraId="3743DA84" w14:textId="77777777">
      <w:pPr>
        <w:ind w:firstLine="720"/>
        <w:rPr>
          <w:color w:val="000000" w:themeColor="text1"/>
        </w:rPr>
      </w:pPr>
    </w:p>
    <w:p w:rsidRPr="003358C0" w:rsidR="00C41B83" w:rsidP="00E554C3" w:rsidRDefault="000B52E9" w14:paraId="0F6F5A2F" w14:textId="28DBC339">
      <w:pPr>
        <w:pStyle w:val="Heading3"/>
      </w:pPr>
      <w:r w:rsidRPr="003358C0">
        <w:t>F</w:t>
      </w:r>
      <w:r w:rsidRPr="003358C0" w:rsidR="00C41B83">
        <w:t xml:space="preserve">ederalism </w:t>
      </w:r>
      <w:r w:rsidR="00BD7C8B">
        <w:t>C</w:t>
      </w:r>
      <w:r w:rsidRPr="003358C0" w:rsidR="00C41B83">
        <w:t>anon</w:t>
      </w:r>
      <w:r w:rsidRPr="003358C0">
        <w:t>:</w:t>
      </w:r>
      <w:r w:rsidRPr="003358C0" w:rsidR="00AD38EB">
        <w:t xml:space="preserve"> </w:t>
      </w:r>
      <w:r w:rsidR="00BD7C8B">
        <w:t>B</w:t>
      </w:r>
      <w:r w:rsidRPr="003358C0" w:rsidR="00AD38EB">
        <w:t xml:space="preserve">y </w:t>
      </w:r>
      <w:r w:rsidRPr="003358C0" w:rsidR="00563387">
        <w:t xml:space="preserve">legislating immigration consequences to depend on </w:t>
      </w:r>
      <w:r w:rsidR="003F2D98">
        <w:t>s</w:t>
      </w:r>
      <w:r w:rsidRPr="003358C0" w:rsidR="003F2D98">
        <w:t>tate</w:t>
      </w:r>
      <w:r w:rsidRPr="003358C0" w:rsidR="00436DC9">
        <w:t xml:space="preserve"> </w:t>
      </w:r>
      <w:r w:rsidRPr="003358C0" w:rsidR="00563387">
        <w:t>convictions, Congress</w:t>
      </w:r>
      <w:r w:rsidRPr="003358C0" w:rsidR="00EF5F11">
        <w:t xml:space="preserve"> </w:t>
      </w:r>
      <w:r w:rsidRPr="003358C0" w:rsidR="00563387">
        <w:t>intended for federal immigration law to</w:t>
      </w:r>
      <w:r w:rsidRPr="003358C0" w:rsidR="00EF5F11">
        <w:t xml:space="preserve"> defer to </w:t>
      </w:r>
      <w:r w:rsidR="003F2D98">
        <w:t>s</w:t>
      </w:r>
      <w:r w:rsidRPr="003358C0" w:rsidR="003F2D98">
        <w:t>tate</w:t>
      </w:r>
      <w:r w:rsidRPr="003358C0" w:rsidR="00436DC9">
        <w:t xml:space="preserve"> </w:t>
      </w:r>
      <w:r w:rsidRPr="003358C0" w:rsidR="00EF5F11">
        <w:t>determinations regarding convictions</w:t>
      </w:r>
      <w:r w:rsidRPr="003358C0" w:rsidR="00C41B83">
        <w:t>.</w:t>
      </w:r>
    </w:p>
    <w:p w:rsidRPr="003358C0" w:rsidR="00282392" w:rsidP="004838D7" w:rsidRDefault="00282392" w14:paraId="0DE679FD" w14:textId="77777777">
      <w:pPr>
        <w:pStyle w:val="ListParagraph"/>
        <w:spacing w:after="0"/>
        <w:rPr>
          <w:rFonts w:cs="Times New Roman"/>
          <w:b w:val="0"/>
          <w:color w:val="000000" w:themeColor="text1"/>
          <w:szCs w:val="24"/>
        </w:rPr>
      </w:pPr>
    </w:p>
    <w:p w:rsidRPr="003358C0" w:rsidR="00606340" w:rsidP="004838D7" w:rsidRDefault="00D96D29" w14:paraId="4A73E9BA" w14:textId="0403864E">
      <w:pPr>
        <w:ind w:firstLine="720"/>
        <w:rPr>
          <w:color w:val="000000" w:themeColor="text1"/>
        </w:rPr>
      </w:pPr>
      <w:r w:rsidRPr="00BD0E40">
        <w:rPr>
          <w:color w:val="000000" w:themeColor="text1"/>
        </w:rPr>
        <w:t>The federalism canon requires that</w:t>
      </w:r>
      <w:r w:rsidRPr="003358C0">
        <w:rPr>
          <w:color w:val="000000" w:themeColor="text1"/>
        </w:rPr>
        <w:t xml:space="preserve"> s</w:t>
      </w:r>
      <w:r w:rsidRPr="003358C0" w:rsidR="00CB5B47">
        <w:rPr>
          <w:color w:val="000000" w:themeColor="text1"/>
        </w:rPr>
        <w:t>tatutes</w:t>
      </w:r>
      <w:r w:rsidRPr="00201C83" w:rsidR="003B2BA2">
        <w:rPr>
          <w:iCs/>
          <w:color w:val="000000" w:themeColor="text1"/>
        </w:rPr>
        <w:t xml:space="preserve"> </w:t>
      </w:r>
      <w:r w:rsidRPr="00201C83" w:rsidR="00CB5B47">
        <w:rPr>
          <w:iCs/>
          <w:color w:val="000000" w:themeColor="text1"/>
        </w:rPr>
        <w:t xml:space="preserve">be </w:t>
      </w:r>
      <w:r w:rsidRPr="00201C83" w:rsidR="003B2BA2">
        <w:rPr>
          <w:iCs/>
          <w:color w:val="000000" w:themeColor="text1"/>
        </w:rPr>
        <w:t>interpret</w:t>
      </w:r>
      <w:r w:rsidRPr="00201C83" w:rsidR="00CB5B47">
        <w:rPr>
          <w:iCs/>
          <w:color w:val="000000" w:themeColor="text1"/>
        </w:rPr>
        <w:t>ed</w:t>
      </w:r>
      <w:r w:rsidRPr="00201C83" w:rsidR="003B2BA2">
        <w:rPr>
          <w:iCs/>
          <w:color w:val="000000" w:themeColor="text1"/>
        </w:rPr>
        <w:t xml:space="preserve"> with the assumption that Congress did not mean to disturb the </w:t>
      </w:r>
      <w:r w:rsidRPr="00201C83" w:rsidR="0001081D">
        <w:rPr>
          <w:iCs/>
          <w:color w:val="000000" w:themeColor="text1"/>
        </w:rPr>
        <w:t xml:space="preserve">traditional </w:t>
      </w:r>
      <w:r w:rsidRPr="00201C83" w:rsidR="003B2BA2">
        <w:rPr>
          <w:iCs/>
          <w:color w:val="000000" w:themeColor="text1"/>
        </w:rPr>
        <w:t xml:space="preserve">constitutional balance between federal and state powers. </w:t>
      </w:r>
      <w:r w:rsidRPr="00201C83" w:rsidR="00EC335A">
        <w:rPr>
          <w:i/>
          <w:iCs/>
          <w:color w:val="000000" w:themeColor="text1"/>
        </w:rPr>
        <w:t xml:space="preserve">See </w:t>
      </w:r>
      <w:r w:rsidRPr="00201C83" w:rsidR="00733E60">
        <w:rPr>
          <w:i/>
          <w:color w:val="000000" w:themeColor="text1"/>
        </w:rPr>
        <w:t>Rice</w:t>
      </w:r>
      <w:r w:rsidRPr="00201C83" w:rsidR="00CA6915">
        <w:rPr>
          <w:i/>
          <w:color w:val="000000" w:themeColor="text1"/>
        </w:rPr>
        <w:t xml:space="preserve"> v. Santa Fe Elevator Corp.</w:t>
      </w:r>
      <w:r w:rsidRPr="00201C83" w:rsidR="00733E60">
        <w:rPr>
          <w:color w:val="000000" w:themeColor="text1"/>
        </w:rPr>
        <w:t>,</w:t>
      </w:r>
      <w:r w:rsidRPr="00201C83" w:rsidR="00CB5B47">
        <w:rPr>
          <w:color w:val="000000" w:themeColor="text1"/>
        </w:rPr>
        <w:t xml:space="preserve"> </w:t>
      </w:r>
      <w:r w:rsidRPr="00201C83" w:rsidR="00CA6915">
        <w:rPr>
          <w:color w:val="000000" w:themeColor="text1"/>
        </w:rPr>
        <w:t>331 U.S. 218,</w:t>
      </w:r>
      <w:r w:rsidRPr="00201C83" w:rsidR="00733E60">
        <w:rPr>
          <w:color w:val="000000" w:themeColor="text1"/>
        </w:rPr>
        <w:t xml:space="preserve"> 230 </w:t>
      </w:r>
      <w:r w:rsidRPr="00201C83" w:rsidR="00CA6915">
        <w:rPr>
          <w:color w:val="000000" w:themeColor="text1"/>
        </w:rPr>
        <w:t xml:space="preserve">(1947) </w:t>
      </w:r>
      <w:r w:rsidRPr="00201C83" w:rsidR="00733E60">
        <w:rPr>
          <w:color w:val="000000" w:themeColor="text1"/>
        </w:rPr>
        <w:t xml:space="preserve">(“[W]e </w:t>
      </w:r>
      <w:proofErr w:type="gramStart"/>
      <w:r w:rsidRPr="00201C83" w:rsidR="00733E60">
        <w:rPr>
          <w:color w:val="000000" w:themeColor="text1"/>
        </w:rPr>
        <w:t>start</w:t>
      </w:r>
      <w:proofErr w:type="gramEnd"/>
      <w:r w:rsidRPr="00201C83" w:rsidR="00733E60">
        <w:rPr>
          <w:color w:val="000000" w:themeColor="text1"/>
        </w:rPr>
        <w:t xml:space="preserve"> with the assumption that the historic police powers of the States</w:t>
      </w:r>
      <w:r w:rsidR="00A368E7">
        <w:rPr>
          <w:color w:val="000000" w:themeColor="text1"/>
        </w:rPr>
        <w:t xml:space="preserve"> were not to be superseded by the Federal Act</w:t>
      </w:r>
      <w:r w:rsidRPr="00201C83" w:rsidR="00733E60">
        <w:rPr>
          <w:color w:val="000000" w:themeColor="text1"/>
        </w:rPr>
        <w:t xml:space="preserve"> unless that was the clear and manifest purpose of Congress.”).</w:t>
      </w:r>
      <w:r w:rsidRPr="003358C0" w:rsidR="00733E60">
        <w:rPr>
          <w:color w:val="000000" w:themeColor="text1"/>
        </w:rPr>
        <w:t xml:space="preserve"> </w:t>
      </w:r>
      <w:r w:rsidRPr="0000388B" w:rsidR="00733E60">
        <w:rPr>
          <w:color w:val="000000" w:themeColor="text1"/>
        </w:rPr>
        <w:t>S</w:t>
      </w:r>
      <w:r w:rsidRPr="0000388B" w:rsidR="00703B12">
        <w:rPr>
          <w:color w:val="000000" w:themeColor="text1"/>
        </w:rPr>
        <w:t xml:space="preserve">tate </w:t>
      </w:r>
      <w:r w:rsidRPr="0000388B" w:rsidR="004B4ED9">
        <w:rPr>
          <w:color w:val="000000" w:themeColor="text1"/>
        </w:rPr>
        <w:t xml:space="preserve">criminal </w:t>
      </w:r>
      <w:r w:rsidRPr="0000388B" w:rsidR="00703B12">
        <w:rPr>
          <w:color w:val="000000" w:themeColor="text1"/>
        </w:rPr>
        <w:t xml:space="preserve">convictions fall squarely within the </w:t>
      </w:r>
      <w:r w:rsidR="00AB178A">
        <w:rPr>
          <w:color w:val="000000" w:themeColor="text1"/>
        </w:rPr>
        <w:t>S</w:t>
      </w:r>
      <w:r w:rsidRPr="0000388B" w:rsidR="00436DC9">
        <w:rPr>
          <w:color w:val="000000" w:themeColor="text1"/>
        </w:rPr>
        <w:t xml:space="preserve">tates’ </w:t>
      </w:r>
      <w:r w:rsidRPr="0000388B" w:rsidR="003B2BA2">
        <w:rPr>
          <w:color w:val="000000" w:themeColor="text1"/>
        </w:rPr>
        <w:t xml:space="preserve">traditional </w:t>
      </w:r>
      <w:r w:rsidRPr="0000388B" w:rsidR="00703B12">
        <w:rPr>
          <w:color w:val="000000" w:themeColor="text1"/>
        </w:rPr>
        <w:t>police powers to regulate their own criminal laws</w:t>
      </w:r>
      <w:r w:rsidRPr="0000388B" w:rsidR="00733E60">
        <w:rPr>
          <w:color w:val="000000" w:themeColor="text1"/>
        </w:rPr>
        <w:t>.</w:t>
      </w:r>
      <w:r w:rsidRPr="0000388B" w:rsidR="00EF5F11">
        <w:rPr>
          <w:color w:val="000000" w:themeColor="text1"/>
        </w:rPr>
        <w:t xml:space="preserve"> </w:t>
      </w:r>
      <w:r w:rsidRPr="0000388B" w:rsidR="00EF5F11">
        <w:rPr>
          <w:i/>
          <w:iCs/>
          <w:color w:val="000000" w:themeColor="text1"/>
        </w:rPr>
        <w:t>See</w:t>
      </w:r>
      <w:r w:rsidR="00662C3F">
        <w:rPr>
          <w:i/>
          <w:iCs/>
          <w:color w:val="000000" w:themeColor="text1"/>
        </w:rPr>
        <w:t>, e.g.</w:t>
      </w:r>
      <w:r w:rsidR="00662C3F">
        <w:rPr>
          <w:iCs/>
          <w:color w:val="000000" w:themeColor="text1"/>
        </w:rPr>
        <w:t>,</w:t>
      </w:r>
      <w:r w:rsidRPr="0000388B" w:rsidR="00EF5F11">
        <w:rPr>
          <w:color w:val="000000" w:themeColor="text1"/>
        </w:rPr>
        <w:t xml:space="preserve"> </w:t>
      </w:r>
      <w:r w:rsidRPr="0000388B" w:rsidR="00EF5F11">
        <w:rPr>
          <w:i/>
          <w:color w:val="000000" w:themeColor="text1"/>
        </w:rPr>
        <w:t>Heath v. Alabama</w:t>
      </w:r>
      <w:r w:rsidRPr="0000388B" w:rsidR="00EF5F11">
        <w:rPr>
          <w:color w:val="000000" w:themeColor="text1"/>
        </w:rPr>
        <w:t>, 474 U.S. 82, 89 (1985)</w:t>
      </w:r>
      <w:r w:rsidRPr="0000388B" w:rsidR="00733E60">
        <w:rPr>
          <w:color w:val="000000" w:themeColor="text1"/>
        </w:rPr>
        <w:t>.</w:t>
      </w:r>
      <w:r w:rsidRPr="0000388B">
        <w:rPr>
          <w:color w:val="000000" w:themeColor="text1"/>
        </w:rPr>
        <w:t xml:space="preserve"> </w:t>
      </w:r>
      <w:r w:rsidRPr="0044116A">
        <w:rPr>
          <w:color w:val="000000" w:themeColor="text1"/>
        </w:rPr>
        <w:t>In the INA, there is no</w:t>
      </w:r>
      <w:r w:rsidRPr="0044116A" w:rsidR="00C644CD">
        <w:rPr>
          <w:color w:val="000000" w:themeColor="text1"/>
        </w:rPr>
        <w:t xml:space="preserve"> statement—let alone an </w:t>
      </w:r>
      <w:r w:rsidRPr="0044116A" w:rsidR="00703B12">
        <w:rPr>
          <w:color w:val="000000" w:themeColor="text1"/>
        </w:rPr>
        <w:t>“unmistakably clear” statement</w:t>
      </w:r>
      <w:r w:rsidRPr="0044116A" w:rsidR="00C644CD">
        <w:rPr>
          <w:color w:val="000000" w:themeColor="text1"/>
        </w:rPr>
        <w:t>—</w:t>
      </w:r>
      <w:r w:rsidRPr="0044116A" w:rsidR="00703B12">
        <w:rPr>
          <w:color w:val="000000" w:themeColor="text1"/>
        </w:rPr>
        <w:t>of intent from Congress</w:t>
      </w:r>
      <w:r w:rsidRPr="0044116A">
        <w:rPr>
          <w:color w:val="000000" w:themeColor="text1"/>
        </w:rPr>
        <w:t xml:space="preserve"> to intrude on the States’ police powers</w:t>
      </w:r>
      <w:r w:rsidRPr="0044116A" w:rsidR="00C644CD">
        <w:rPr>
          <w:color w:val="000000" w:themeColor="text1"/>
        </w:rPr>
        <w:t xml:space="preserve"> to determine whether a conviction continues to exist or has been eliminated</w:t>
      </w:r>
      <w:r w:rsidRPr="0044116A">
        <w:rPr>
          <w:color w:val="000000" w:themeColor="text1"/>
        </w:rPr>
        <w:t>.</w:t>
      </w:r>
      <w:r w:rsidRPr="0044116A" w:rsidR="00703B12">
        <w:rPr>
          <w:color w:val="000000" w:themeColor="text1"/>
        </w:rPr>
        <w:t xml:space="preserve"> </w:t>
      </w:r>
      <w:r w:rsidRPr="0044116A" w:rsidR="00A368E7">
        <w:rPr>
          <w:i/>
          <w:color w:val="000000" w:themeColor="text1"/>
        </w:rPr>
        <w:t>See</w:t>
      </w:r>
      <w:r w:rsidRPr="0044116A" w:rsidR="00A368E7">
        <w:rPr>
          <w:color w:val="000000" w:themeColor="text1"/>
        </w:rPr>
        <w:t xml:space="preserve"> </w:t>
      </w:r>
      <w:r w:rsidRPr="0044116A" w:rsidR="00703B12">
        <w:rPr>
          <w:i/>
          <w:color w:val="000000" w:themeColor="text1"/>
        </w:rPr>
        <w:t>Gregory v. Ashcroft</w:t>
      </w:r>
      <w:r w:rsidRPr="0044116A" w:rsidR="00703B12">
        <w:rPr>
          <w:color w:val="000000" w:themeColor="text1"/>
        </w:rPr>
        <w:t>, 501 U.S. 452, 4</w:t>
      </w:r>
      <w:r w:rsidRPr="0044116A" w:rsidR="00662C3F">
        <w:rPr>
          <w:color w:val="000000" w:themeColor="text1"/>
        </w:rPr>
        <w:t>60</w:t>
      </w:r>
      <w:r w:rsidRPr="003F2D98" w:rsidR="00AB178A">
        <w:rPr>
          <w:color w:val="000000" w:themeColor="text1"/>
        </w:rPr>
        <w:t>–</w:t>
      </w:r>
      <w:r w:rsidRPr="0044116A" w:rsidR="00662C3F">
        <w:rPr>
          <w:color w:val="000000" w:themeColor="text1"/>
        </w:rPr>
        <w:t>61</w:t>
      </w:r>
      <w:r w:rsidRPr="0044116A" w:rsidR="00703B12">
        <w:rPr>
          <w:color w:val="000000" w:themeColor="text1"/>
        </w:rPr>
        <w:t xml:space="preserve"> (1991)</w:t>
      </w:r>
      <w:r w:rsidRPr="0044116A" w:rsidR="00662C3F">
        <w:rPr>
          <w:color w:val="000000" w:themeColor="text1"/>
        </w:rPr>
        <w:t xml:space="preserve"> (discussing “plain statement” rule)</w:t>
      </w:r>
      <w:r w:rsidRPr="0044116A">
        <w:rPr>
          <w:color w:val="000000" w:themeColor="text1"/>
        </w:rPr>
        <w:t>.</w:t>
      </w:r>
      <w:r w:rsidRPr="00201C83">
        <w:rPr>
          <w:color w:val="000000" w:themeColor="text1"/>
        </w:rPr>
        <w:t xml:space="preserve"> </w:t>
      </w:r>
      <w:r w:rsidRPr="00201C83" w:rsidR="00E6391E">
        <w:rPr>
          <w:color w:val="000000" w:themeColor="text1"/>
        </w:rPr>
        <w:t xml:space="preserve">To the contrary, Congress has </w:t>
      </w:r>
      <w:r w:rsidRPr="00201C83" w:rsidR="005247F4">
        <w:rPr>
          <w:color w:val="000000" w:themeColor="text1"/>
        </w:rPr>
        <w:t xml:space="preserve">chosen to make immigration consequences dependent on how </w:t>
      </w:r>
      <w:r w:rsidR="003F2D98">
        <w:rPr>
          <w:color w:val="000000" w:themeColor="text1"/>
        </w:rPr>
        <w:t>s</w:t>
      </w:r>
      <w:r w:rsidRPr="00201C83" w:rsidR="003F2D98">
        <w:rPr>
          <w:color w:val="000000" w:themeColor="text1"/>
        </w:rPr>
        <w:t xml:space="preserve">tate </w:t>
      </w:r>
      <w:r w:rsidRPr="00201C83" w:rsidR="005247F4">
        <w:rPr>
          <w:color w:val="000000" w:themeColor="text1"/>
        </w:rPr>
        <w:t xml:space="preserve">courts adjudicate a criminal case. </w:t>
      </w:r>
      <w:r w:rsidRPr="00201C83">
        <w:rPr>
          <w:color w:val="000000" w:themeColor="text1"/>
        </w:rPr>
        <w:t xml:space="preserve">Correctly understood, the statutory term does not include convictions </w:t>
      </w:r>
      <w:r w:rsidR="00A368E7">
        <w:rPr>
          <w:color w:val="000000" w:themeColor="text1"/>
        </w:rPr>
        <w:t xml:space="preserve">that </w:t>
      </w:r>
      <w:r w:rsidR="00BD0E40">
        <w:rPr>
          <w:color w:val="000000" w:themeColor="text1"/>
        </w:rPr>
        <w:t>a</w:t>
      </w:r>
      <w:r w:rsidRPr="00201C83" w:rsidR="00BD0E40">
        <w:rPr>
          <w:color w:val="000000" w:themeColor="text1"/>
        </w:rPr>
        <w:t xml:space="preserve"> </w:t>
      </w:r>
      <w:r w:rsidR="00BD0E40">
        <w:rPr>
          <w:color w:val="000000" w:themeColor="text1"/>
        </w:rPr>
        <w:t>s</w:t>
      </w:r>
      <w:r w:rsidRPr="00201C83">
        <w:rPr>
          <w:color w:val="000000" w:themeColor="text1"/>
        </w:rPr>
        <w:t>tate ha</w:t>
      </w:r>
      <w:r w:rsidR="00BD0E40">
        <w:rPr>
          <w:color w:val="000000" w:themeColor="text1"/>
        </w:rPr>
        <w:t>s</w:t>
      </w:r>
      <w:r w:rsidRPr="00201C83">
        <w:rPr>
          <w:color w:val="000000" w:themeColor="text1"/>
        </w:rPr>
        <w:t xml:space="preserve"> decided to expunge or vacate.</w:t>
      </w:r>
    </w:p>
    <w:p w:rsidRPr="003358C0" w:rsidR="00703B12" w:rsidP="004838D7" w:rsidRDefault="00703B12" w14:paraId="3A76C58E" w14:textId="612AB724">
      <w:pPr>
        <w:ind w:firstLine="720"/>
        <w:rPr>
          <w:color w:val="000000" w:themeColor="text1"/>
        </w:rPr>
      </w:pPr>
    </w:p>
    <w:p w:rsidRPr="003358C0" w:rsidR="00703B12" w:rsidP="00E554C3" w:rsidRDefault="00703B12" w14:paraId="3EC0DC4F" w14:textId="7D5E19C1">
      <w:pPr>
        <w:pStyle w:val="Heading4"/>
      </w:pPr>
      <w:r w:rsidRPr="003358C0">
        <w:t>Vacatur</w:t>
      </w:r>
      <w:r w:rsidRPr="003358C0" w:rsidR="00780027">
        <w:t xml:space="preserve"> and expungement</w:t>
      </w:r>
      <w:r w:rsidRPr="003358C0">
        <w:t xml:space="preserve"> of a state conviction fall within a state’s constitutional police powers to regulate their own criminal laws.</w:t>
      </w:r>
    </w:p>
    <w:p w:rsidRPr="003358C0" w:rsidR="00703B12" w:rsidP="004838D7" w:rsidRDefault="00703B12" w14:paraId="6B00849D" w14:textId="77777777">
      <w:pPr>
        <w:pStyle w:val="ListParagraph"/>
        <w:spacing w:after="0"/>
        <w:ind w:left="1080"/>
        <w:rPr>
          <w:rFonts w:cs="Times New Roman"/>
          <w:color w:val="000000" w:themeColor="text1"/>
          <w:szCs w:val="24"/>
        </w:rPr>
      </w:pPr>
    </w:p>
    <w:p w:rsidRPr="00940662" w:rsidR="002E0660" w:rsidP="004838D7" w:rsidRDefault="00282392" w14:paraId="67D27B2E" w14:textId="2BE1BFBF">
      <w:pPr>
        <w:ind w:firstLine="720"/>
        <w:rPr>
          <w:color w:val="000000" w:themeColor="text1"/>
        </w:rPr>
      </w:pPr>
      <w:r w:rsidRPr="003358C0">
        <w:rPr>
          <w:color w:val="000000" w:themeColor="text1"/>
        </w:rPr>
        <w:t>The federalism canon</w:t>
      </w:r>
      <w:r w:rsidRPr="003358C0" w:rsidR="00703B12">
        <w:rPr>
          <w:color w:val="000000" w:themeColor="text1"/>
        </w:rPr>
        <w:t xml:space="preserve"> </w:t>
      </w:r>
      <w:r w:rsidRPr="003358C0">
        <w:rPr>
          <w:color w:val="000000" w:themeColor="text1"/>
        </w:rPr>
        <w:t xml:space="preserve">is </w:t>
      </w:r>
      <w:r w:rsidRPr="003358C0" w:rsidR="002E0660">
        <w:rPr>
          <w:color w:val="000000" w:themeColor="text1"/>
        </w:rPr>
        <w:t xml:space="preserve">rooted in </w:t>
      </w:r>
      <w:r w:rsidRPr="003358C0">
        <w:rPr>
          <w:color w:val="000000" w:themeColor="text1"/>
        </w:rPr>
        <w:t xml:space="preserve">the </w:t>
      </w:r>
      <w:r w:rsidRPr="003358C0" w:rsidR="002E0660">
        <w:rPr>
          <w:color w:val="000000" w:themeColor="text1"/>
        </w:rPr>
        <w:t>Constitution, which provides that powers that are not specifically delegated to the federal government are reserved for the States</w:t>
      </w:r>
      <w:r w:rsidRPr="00201C83" w:rsidR="00C41B83">
        <w:rPr>
          <w:color w:val="000000" w:themeColor="text1"/>
        </w:rPr>
        <w:t xml:space="preserve">. </w:t>
      </w:r>
      <w:r w:rsidRPr="003358C0" w:rsidR="00C41B83">
        <w:rPr>
          <w:color w:val="000000" w:themeColor="text1"/>
        </w:rPr>
        <w:t>U.S. Const. amend. X, § 8.</w:t>
      </w:r>
      <w:r w:rsidRPr="003358C0" w:rsidR="00441C7F">
        <w:rPr>
          <w:color w:val="000000" w:themeColor="text1"/>
        </w:rPr>
        <w:t xml:space="preserve"> </w:t>
      </w:r>
      <w:r w:rsidRPr="003358C0" w:rsidR="002E0660">
        <w:rPr>
          <w:color w:val="000000" w:themeColor="text1"/>
        </w:rPr>
        <w:t xml:space="preserve">The </w:t>
      </w:r>
      <w:r w:rsidRPr="003358C0" w:rsidR="00A004F5">
        <w:rPr>
          <w:color w:val="000000" w:themeColor="text1"/>
        </w:rPr>
        <w:t>Constitution’s reservation</w:t>
      </w:r>
      <w:r w:rsidRPr="00201C83" w:rsidR="002E0660">
        <w:rPr>
          <w:color w:val="000000" w:themeColor="text1"/>
        </w:rPr>
        <w:t xml:space="preserve"> of a generalized police power to the States </w:t>
      </w:r>
      <w:r w:rsidRPr="00201C83" w:rsidR="00C41B83">
        <w:rPr>
          <w:color w:val="000000" w:themeColor="text1"/>
        </w:rPr>
        <w:t>“</w:t>
      </w:r>
      <w:r w:rsidRPr="00201C83" w:rsidR="002E0660">
        <w:rPr>
          <w:color w:val="000000" w:themeColor="text1"/>
        </w:rPr>
        <w:t xml:space="preserve">is </w:t>
      </w:r>
      <w:r w:rsidRPr="00201C83" w:rsidR="00C41B83">
        <w:rPr>
          <w:color w:val="000000" w:themeColor="text1"/>
        </w:rPr>
        <w:t>deeply ingrained in our constitutional history.”</w:t>
      </w:r>
      <w:r w:rsidRPr="00201C83" w:rsidR="00703B12">
        <w:rPr>
          <w:color w:val="000000" w:themeColor="text1"/>
        </w:rPr>
        <w:t xml:space="preserve"> </w:t>
      </w:r>
      <w:r w:rsidRPr="003358C0" w:rsidR="00C41B83">
        <w:rPr>
          <w:i/>
          <w:color w:val="000000" w:themeColor="text1"/>
        </w:rPr>
        <w:t>United States v. Morrison</w:t>
      </w:r>
      <w:r w:rsidRPr="003358C0" w:rsidR="00C41B83">
        <w:rPr>
          <w:color w:val="000000" w:themeColor="text1"/>
        </w:rPr>
        <w:t>, 529 U.S. 598, 618 n.8 (2000</w:t>
      </w:r>
      <w:r w:rsidRPr="003358C0" w:rsidR="002E0660">
        <w:rPr>
          <w:color w:val="000000" w:themeColor="text1"/>
        </w:rPr>
        <w:t>)</w:t>
      </w:r>
      <w:r w:rsidRPr="003358C0" w:rsidR="00C41B83">
        <w:rPr>
          <w:color w:val="000000" w:themeColor="text1"/>
        </w:rPr>
        <w:t xml:space="preserve">. </w:t>
      </w:r>
      <w:r w:rsidRPr="003358C0" w:rsidR="002E0660">
        <w:rPr>
          <w:color w:val="000000" w:themeColor="text1"/>
        </w:rPr>
        <w:t xml:space="preserve">Consistent with these </w:t>
      </w:r>
      <w:r w:rsidRPr="003358C0" w:rsidR="00012C17">
        <w:rPr>
          <w:color w:val="000000" w:themeColor="text1"/>
        </w:rPr>
        <w:t xml:space="preserve">federalism </w:t>
      </w:r>
      <w:r w:rsidRPr="003358C0" w:rsidR="002E0660">
        <w:rPr>
          <w:color w:val="000000" w:themeColor="text1"/>
        </w:rPr>
        <w:t xml:space="preserve">principles, </w:t>
      </w:r>
      <w:r w:rsidR="00436DC9">
        <w:rPr>
          <w:color w:val="000000" w:themeColor="text1"/>
        </w:rPr>
        <w:t xml:space="preserve">the </w:t>
      </w:r>
      <w:r w:rsidRPr="003358C0" w:rsidR="00703B12">
        <w:rPr>
          <w:color w:val="000000" w:themeColor="text1"/>
        </w:rPr>
        <w:t xml:space="preserve">States </w:t>
      </w:r>
      <w:r w:rsidRPr="003358C0" w:rsidR="002E0660">
        <w:rPr>
          <w:color w:val="000000" w:themeColor="text1"/>
        </w:rPr>
        <w:t xml:space="preserve">are </w:t>
      </w:r>
      <w:r w:rsidRPr="003358C0" w:rsidR="00703B12">
        <w:rPr>
          <w:color w:val="000000" w:themeColor="text1"/>
        </w:rPr>
        <w:t>sovereign with re</w:t>
      </w:r>
      <w:r w:rsidRPr="00940662" w:rsidR="00703B12">
        <w:rPr>
          <w:color w:val="000000" w:themeColor="text1"/>
        </w:rPr>
        <w:t xml:space="preserve">spect to </w:t>
      </w:r>
      <w:r w:rsidRPr="00940662" w:rsidR="00012C17">
        <w:rPr>
          <w:color w:val="000000" w:themeColor="text1"/>
        </w:rPr>
        <w:t xml:space="preserve">defining and enforcing </w:t>
      </w:r>
      <w:r w:rsidRPr="00940662" w:rsidR="00703B12">
        <w:rPr>
          <w:color w:val="000000" w:themeColor="text1"/>
        </w:rPr>
        <w:t>their own criminal laws</w:t>
      </w:r>
      <w:r w:rsidR="0057256A">
        <w:rPr>
          <w:color w:val="000000" w:themeColor="text1"/>
        </w:rPr>
        <w:t xml:space="preserve">, including </w:t>
      </w:r>
      <w:r w:rsidR="00662C3F">
        <w:rPr>
          <w:color w:val="000000" w:themeColor="text1"/>
        </w:rPr>
        <w:t xml:space="preserve">laws defining </w:t>
      </w:r>
      <w:r w:rsidR="0057256A">
        <w:rPr>
          <w:color w:val="000000" w:themeColor="text1"/>
        </w:rPr>
        <w:t>conviction</w:t>
      </w:r>
      <w:r w:rsidR="00662C3F">
        <w:rPr>
          <w:color w:val="000000" w:themeColor="text1"/>
        </w:rPr>
        <w:t>s</w:t>
      </w:r>
      <w:r w:rsidR="0057256A">
        <w:rPr>
          <w:color w:val="000000" w:themeColor="text1"/>
        </w:rPr>
        <w:t xml:space="preserve"> and sentencing</w:t>
      </w:r>
      <w:r w:rsidRPr="00940662" w:rsidR="00703B12">
        <w:rPr>
          <w:color w:val="000000" w:themeColor="text1"/>
        </w:rPr>
        <w:t>.</w:t>
      </w:r>
      <w:r w:rsidRPr="00940662" w:rsidR="002E0660">
        <w:rPr>
          <w:color w:val="000000" w:themeColor="text1"/>
        </w:rPr>
        <w:t xml:space="preserve"> </w:t>
      </w:r>
      <w:r w:rsidRPr="00662C3F" w:rsidR="00C644CD">
        <w:rPr>
          <w:i/>
          <w:color w:val="000000" w:themeColor="text1"/>
        </w:rPr>
        <w:t xml:space="preserve">See </w:t>
      </w:r>
      <w:r w:rsidRPr="00662C3F" w:rsidR="002E60BF">
        <w:rPr>
          <w:i/>
          <w:color w:val="000000" w:themeColor="text1"/>
        </w:rPr>
        <w:t>id.</w:t>
      </w:r>
      <w:r w:rsidRPr="00662C3F" w:rsidR="002E0660">
        <w:rPr>
          <w:color w:val="000000" w:themeColor="text1"/>
        </w:rPr>
        <w:t xml:space="preserve"> at 61</w:t>
      </w:r>
      <w:r w:rsidRPr="00662C3F" w:rsidR="00662C3F">
        <w:rPr>
          <w:color w:val="000000" w:themeColor="text1"/>
        </w:rPr>
        <w:t>8</w:t>
      </w:r>
      <w:r w:rsidRPr="00940662" w:rsidR="002E0660">
        <w:rPr>
          <w:color w:val="000000" w:themeColor="text1"/>
        </w:rPr>
        <w:t xml:space="preserve"> (describing regulation of crime as a prime example of state police power denied to the federal government and reposed in the States)</w:t>
      </w:r>
      <w:r w:rsidRPr="00940662" w:rsidR="00012C17">
        <w:rPr>
          <w:color w:val="000000" w:themeColor="text1"/>
        </w:rPr>
        <w:t xml:space="preserve">; </w:t>
      </w:r>
      <w:r w:rsidRPr="00940662" w:rsidR="00012C17">
        <w:rPr>
          <w:i/>
          <w:color w:val="000000" w:themeColor="text1"/>
        </w:rPr>
        <w:t>United States v. Lopez</w:t>
      </w:r>
      <w:r w:rsidRPr="00940662" w:rsidR="00012C17">
        <w:rPr>
          <w:color w:val="000000" w:themeColor="text1"/>
        </w:rPr>
        <w:t>, 514 U.S. 549, 561 n.3 (1995) (“Under our federal system, the States possess primary authority for defining and enforcing the criminal law.” (</w:t>
      </w:r>
      <w:proofErr w:type="gramStart"/>
      <w:r w:rsidRPr="00940662" w:rsidR="00012C17">
        <w:rPr>
          <w:color w:val="000000" w:themeColor="text1"/>
        </w:rPr>
        <w:t>internal</w:t>
      </w:r>
      <w:proofErr w:type="gramEnd"/>
      <w:r w:rsidRPr="00940662" w:rsidR="00012C17">
        <w:rPr>
          <w:color w:val="000000" w:themeColor="text1"/>
        </w:rPr>
        <w:t xml:space="preserve"> quotation marks omitted))</w:t>
      </w:r>
      <w:r w:rsidR="0057256A">
        <w:rPr>
          <w:color w:val="000000" w:themeColor="text1"/>
        </w:rPr>
        <w:t xml:space="preserve">; </w:t>
      </w:r>
      <w:r w:rsidRPr="0057256A" w:rsidR="0057256A">
        <w:rPr>
          <w:i/>
          <w:color w:val="000000" w:themeColor="text1"/>
        </w:rPr>
        <w:t>Heath</w:t>
      </w:r>
      <w:r w:rsidR="0057256A">
        <w:rPr>
          <w:color w:val="000000" w:themeColor="text1"/>
        </w:rPr>
        <w:t xml:space="preserve">, 474 U.S. at </w:t>
      </w:r>
      <w:r w:rsidR="0057256A">
        <w:rPr>
          <w:color w:val="000000" w:themeColor="text1"/>
        </w:rPr>
        <w:lastRenderedPageBreak/>
        <w:t>89 (explaining that “each State’s power to prosecute is derived from its own ‘inherent sovereignty, not the Federal Government’”)</w:t>
      </w:r>
      <w:r w:rsidRPr="00940662" w:rsidR="00012C17">
        <w:rPr>
          <w:color w:val="000000" w:themeColor="text1"/>
        </w:rPr>
        <w:t>.</w:t>
      </w:r>
    </w:p>
    <w:p w:rsidRPr="00940662" w:rsidR="00C41B83" w:rsidP="00E554C3" w:rsidRDefault="00C41B83" w14:paraId="61E64707" w14:textId="5A3FD559">
      <w:pPr>
        <w:pStyle w:val="Heading4"/>
        <w:numPr>
          <w:ilvl w:val="0"/>
          <w:numId w:val="0"/>
        </w:numPr>
        <w:ind w:left="1800" w:hanging="360"/>
      </w:pPr>
    </w:p>
    <w:p w:rsidRPr="00940662" w:rsidR="00703B12" w:rsidP="00E554C3" w:rsidRDefault="002E60BF" w14:paraId="123161EE" w14:textId="3E7BFDD1">
      <w:pPr>
        <w:pStyle w:val="Heading4"/>
        <w:rPr>
          <w:rFonts w:cs="Times New Roman"/>
          <w:bCs/>
        </w:rPr>
      </w:pPr>
      <w:r w:rsidRPr="00940662">
        <w:rPr>
          <w:rFonts w:cs="Times New Roman"/>
          <w:bCs/>
        </w:rPr>
        <w:t>In the INA</w:t>
      </w:r>
      <w:r w:rsidR="00BD0E40">
        <w:rPr>
          <w:rFonts w:cs="Times New Roman"/>
          <w:bCs/>
        </w:rPr>
        <w:t>,</w:t>
      </w:r>
      <w:r w:rsidRPr="00940662">
        <w:rPr>
          <w:rFonts w:cs="Times New Roman"/>
          <w:bCs/>
        </w:rPr>
        <w:t xml:space="preserve"> </w:t>
      </w:r>
      <w:r w:rsidRPr="00940662" w:rsidR="00C41B83">
        <w:rPr>
          <w:rFonts w:cs="Times New Roman"/>
          <w:bCs/>
        </w:rPr>
        <w:t>Congress</w:t>
      </w:r>
      <w:r w:rsidRPr="00940662" w:rsidR="00C43A5E">
        <w:rPr>
          <w:rFonts w:cs="Times New Roman"/>
          <w:bCs/>
        </w:rPr>
        <w:t xml:space="preserve"> </w:t>
      </w:r>
      <w:r w:rsidRPr="00940662" w:rsidR="00A95754">
        <w:rPr>
          <w:rFonts w:cs="Times New Roman"/>
          <w:bCs/>
        </w:rPr>
        <w:t xml:space="preserve">has </w:t>
      </w:r>
      <w:r w:rsidRPr="00940662" w:rsidR="00C43A5E">
        <w:rPr>
          <w:rFonts w:cs="Times New Roman"/>
          <w:bCs/>
        </w:rPr>
        <w:t xml:space="preserve">not stated </w:t>
      </w:r>
      <w:r w:rsidR="00662C3F">
        <w:rPr>
          <w:rFonts w:cs="Times New Roman"/>
          <w:bCs/>
        </w:rPr>
        <w:t>an</w:t>
      </w:r>
      <w:r w:rsidRPr="00940662" w:rsidR="00C43A5E">
        <w:rPr>
          <w:rFonts w:cs="Times New Roman"/>
          <w:bCs/>
        </w:rPr>
        <w:t xml:space="preserve"> intention to </w:t>
      </w:r>
      <w:r w:rsidRPr="00940662" w:rsidR="00012C17">
        <w:rPr>
          <w:rFonts w:cs="Times New Roman"/>
          <w:bCs/>
        </w:rPr>
        <w:t>interfere with</w:t>
      </w:r>
      <w:r w:rsidRPr="00940662" w:rsidR="00C43A5E">
        <w:rPr>
          <w:rFonts w:cs="Times New Roman"/>
          <w:bCs/>
        </w:rPr>
        <w:t xml:space="preserve"> the</w:t>
      </w:r>
      <w:r w:rsidRPr="00940662" w:rsidR="00C41B83">
        <w:rPr>
          <w:rFonts w:cs="Times New Roman"/>
          <w:bCs/>
        </w:rPr>
        <w:t xml:space="preserve"> </w:t>
      </w:r>
      <w:r w:rsidR="00662C3F">
        <w:rPr>
          <w:rFonts w:cs="Times New Roman"/>
          <w:bCs/>
        </w:rPr>
        <w:t>S</w:t>
      </w:r>
      <w:r w:rsidRPr="00940662" w:rsidR="00C41B83">
        <w:rPr>
          <w:rFonts w:cs="Times New Roman"/>
          <w:bCs/>
        </w:rPr>
        <w:t>tates’</w:t>
      </w:r>
      <w:r w:rsidRPr="00940662" w:rsidR="00C43A5E">
        <w:rPr>
          <w:rFonts w:cs="Times New Roman"/>
          <w:bCs/>
        </w:rPr>
        <w:t xml:space="preserve"> constitutional</w:t>
      </w:r>
      <w:r w:rsidRPr="00940662" w:rsidR="00C41B83">
        <w:rPr>
          <w:rFonts w:cs="Times New Roman"/>
          <w:bCs/>
        </w:rPr>
        <w:t xml:space="preserve"> police powers over </w:t>
      </w:r>
      <w:r w:rsidRPr="00940662" w:rsidR="00C43A5E">
        <w:rPr>
          <w:rFonts w:cs="Times New Roman"/>
          <w:bCs/>
        </w:rPr>
        <w:t xml:space="preserve">their </w:t>
      </w:r>
      <w:r w:rsidRPr="00940662" w:rsidR="00C41B83">
        <w:rPr>
          <w:rFonts w:cs="Times New Roman"/>
          <w:bCs/>
        </w:rPr>
        <w:t>criminal laws</w:t>
      </w:r>
      <w:r w:rsidRPr="00940662" w:rsidR="00C43A5E">
        <w:rPr>
          <w:rFonts w:cs="Times New Roman"/>
          <w:bCs/>
        </w:rPr>
        <w:t>.</w:t>
      </w:r>
      <w:r w:rsidRPr="00940662" w:rsidR="00012C17">
        <w:rPr>
          <w:rFonts w:cs="Times New Roman"/>
          <w:bCs/>
        </w:rPr>
        <w:t xml:space="preserve"> </w:t>
      </w:r>
    </w:p>
    <w:p w:rsidRPr="00201C83" w:rsidR="00CA6915" w:rsidP="00302BF8" w:rsidRDefault="00CA6915" w14:paraId="5E633774" w14:textId="77777777">
      <w:pPr>
        <w:ind w:firstLine="720"/>
        <w:rPr>
          <w:color w:val="000000" w:themeColor="text1"/>
        </w:rPr>
      </w:pPr>
    </w:p>
    <w:p w:rsidR="00012C17" w:rsidP="00302BF8" w:rsidRDefault="00012C17" w14:paraId="225722F5" w14:textId="1CBDC2A4">
      <w:pPr>
        <w:ind w:firstLine="720"/>
        <w:rPr>
          <w:color w:val="000000" w:themeColor="text1"/>
        </w:rPr>
      </w:pPr>
      <w:r w:rsidRPr="00201C83">
        <w:rPr>
          <w:color w:val="000000" w:themeColor="text1"/>
        </w:rPr>
        <w:t xml:space="preserve"> </w:t>
      </w:r>
      <w:r w:rsidRPr="00201C83" w:rsidR="002E0660">
        <w:rPr>
          <w:color w:val="000000" w:themeColor="text1"/>
        </w:rPr>
        <w:t>“[U]</w:t>
      </w:r>
      <w:proofErr w:type="spellStart"/>
      <w:r w:rsidRPr="00201C83" w:rsidR="002E0660">
        <w:rPr>
          <w:color w:val="000000" w:themeColor="text1"/>
        </w:rPr>
        <w:t>nless</w:t>
      </w:r>
      <w:proofErr w:type="spellEnd"/>
      <w:r w:rsidRPr="00201C83" w:rsidR="002E0660">
        <w:rPr>
          <w:color w:val="000000" w:themeColor="text1"/>
        </w:rPr>
        <w:t xml:space="preserve"> Congress conveys its purpose clearly, it will not be deemed to have significantly changed the federal-state balance.” </w:t>
      </w:r>
      <w:r w:rsidRPr="00201C83" w:rsidR="002E0660">
        <w:rPr>
          <w:i/>
          <w:color w:val="000000" w:themeColor="text1"/>
        </w:rPr>
        <w:t>United States v. Bass</w:t>
      </w:r>
      <w:r w:rsidRPr="00201C83" w:rsidR="002E0660">
        <w:rPr>
          <w:color w:val="000000" w:themeColor="text1"/>
        </w:rPr>
        <w:t>, 404 U.S. 336, 349 (1971)</w:t>
      </w:r>
      <w:r w:rsidR="005553D2">
        <w:rPr>
          <w:color w:val="000000" w:themeColor="text1"/>
        </w:rPr>
        <w:t>.</w:t>
      </w:r>
      <w:r w:rsidRPr="00201C83">
        <w:rPr>
          <w:color w:val="000000" w:themeColor="text1"/>
        </w:rPr>
        <w:t xml:space="preserve"> With respect to the INA conviction definition, Congress did not state any intent to disturb </w:t>
      </w:r>
      <w:r w:rsidRPr="00201C83" w:rsidR="00E2251D">
        <w:rPr>
          <w:color w:val="000000" w:themeColor="text1"/>
        </w:rPr>
        <w:t xml:space="preserve">the States’ </w:t>
      </w:r>
      <w:r w:rsidRPr="00201C83">
        <w:rPr>
          <w:color w:val="000000" w:themeColor="text1"/>
        </w:rPr>
        <w:t xml:space="preserve">authority with respect to defining and enforcing their criminal laws. </w:t>
      </w:r>
      <w:r w:rsidRPr="00201C83" w:rsidR="005247F4">
        <w:rPr>
          <w:color w:val="000000" w:themeColor="text1"/>
        </w:rPr>
        <w:t>To the contrary,</w:t>
      </w:r>
      <w:r w:rsidRPr="00201C83" w:rsidR="00CF0052">
        <w:rPr>
          <w:color w:val="000000" w:themeColor="text1"/>
        </w:rPr>
        <w:t xml:space="preserve"> by requiring a criminal court’s “conviction,” </w:t>
      </w:r>
      <w:r w:rsidRPr="00201C83" w:rsidR="005247F4">
        <w:rPr>
          <w:color w:val="000000" w:themeColor="text1"/>
        </w:rPr>
        <w:t>Congress continue</w:t>
      </w:r>
      <w:r w:rsidR="005553D2">
        <w:rPr>
          <w:color w:val="000000" w:themeColor="text1"/>
        </w:rPr>
        <w:t>d</w:t>
      </w:r>
      <w:r w:rsidRPr="00201C83" w:rsidR="005247F4">
        <w:rPr>
          <w:color w:val="000000" w:themeColor="text1"/>
        </w:rPr>
        <w:t xml:space="preserve"> to make </w:t>
      </w:r>
      <w:r w:rsidRPr="00201C83" w:rsidR="00CF0052">
        <w:rPr>
          <w:color w:val="000000" w:themeColor="text1"/>
        </w:rPr>
        <w:t xml:space="preserve">the </w:t>
      </w:r>
      <w:r w:rsidRPr="00201C83" w:rsidR="005247F4">
        <w:rPr>
          <w:color w:val="000000" w:themeColor="text1"/>
        </w:rPr>
        <w:t xml:space="preserve">immigration consequences of a criminal case dependent on the state’s adjudication of the </w:t>
      </w:r>
      <w:r w:rsidRPr="00201C83" w:rsidR="00CF0052">
        <w:rPr>
          <w:color w:val="000000" w:themeColor="text1"/>
        </w:rPr>
        <w:t xml:space="preserve">criminal </w:t>
      </w:r>
      <w:r w:rsidRPr="00201C83" w:rsidR="005247F4">
        <w:rPr>
          <w:color w:val="000000" w:themeColor="text1"/>
        </w:rPr>
        <w:t>case.</w:t>
      </w:r>
      <w:r w:rsidR="00436DC9">
        <w:rPr>
          <w:color w:val="000000" w:themeColor="text1"/>
        </w:rPr>
        <w:t xml:space="preserve"> </w:t>
      </w:r>
      <w:r w:rsidR="00436DC9">
        <w:rPr>
          <w:i/>
          <w:iCs/>
          <w:color w:val="000000" w:themeColor="text1"/>
        </w:rPr>
        <w:t>See</w:t>
      </w:r>
      <w:r w:rsidR="00436DC9">
        <w:rPr>
          <w:color w:val="000000" w:themeColor="text1"/>
        </w:rPr>
        <w:t xml:space="preserve"> INA § 101(a)(48) (requiring adjudication by a state court judge or jury for a state disposition to qualify as a “conviction”).</w:t>
      </w:r>
      <w:r w:rsidRPr="00201C83" w:rsidR="005247F4">
        <w:rPr>
          <w:color w:val="000000" w:themeColor="text1"/>
        </w:rPr>
        <w:t xml:space="preserve"> </w:t>
      </w:r>
      <w:r w:rsidR="00436DC9">
        <w:rPr>
          <w:color w:val="000000" w:themeColor="text1"/>
        </w:rPr>
        <w:t>Accordingly</w:t>
      </w:r>
      <w:r w:rsidRPr="00201C83">
        <w:rPr>
          <w:color w:val="000000" w:themeColor="text1"/>
        </w:rPr>
        <w:t>,</w:t>
      </w:r>
      <w:r w:rsidR="00436DC9">
        <w:rPr>
          <w:color w:val="000000" w:themeColor="text1"/>
        </w:rPr>
        <w:t xml:space="preserve"> the Board must recognize that</w:t>
      </w:r>
      <w:r w:rsidRPr="00201C83">
        <w:rPr>
          <w:color w:val="000000" w:themeColor="text1"/>
        </w:rPr>
        <w:t xml:space="preserve"> § 101(a)(48)</w:t>
      </w:r>
      <w:r w:rsidRPr="00201C83">
        <w:rPr>
          <w:color w:val="000000" w:themeColor="text1"/>
        </w:rPr>
        <w:fldChar w:fldCharType="begin"/>
      </w:r>
      <w:r w:rsidRPr="00201C83">
        <w:rPr>
          <w:color w:val="000000" w:themeColor="text1"/>
        </w:rPr>
        <w:instrText xml:space="preserve"> TA \s "§ 1101(a)(48)" </w:instrText>
      </w:r>
      <w:r w:rsidRPr="00201C83">
        <w:rPr>
          <w:color w:val="000000" w:themeColor="text1"/>
        </w:rPr>
        <w:fldChar w:fldCharType="end"/>
      </w:r>
      <w:r w:rsidRPr="00201C83">
        <w:rPr>
          <w:color w:val="000000" w:themeColor="text1"/>
        </w:rPr>
        <w:t>(A)</w:t>
      </w:r>
      <w:r w:rsidRPr="00201C83">
        <w:rPr>
          <w:color w:val="000000" w:themeColor="text1"/>
        </w:rPr>
        <w:fldChar w:fldCharType="begin"/>
      </w:r>
      <w:r w:rsidRPr="00201C83">
        <w:rPr>
          <w:color w:val="000000" w:themeColor="text1"/>
        </w:rPr>
        <w:instrText xml:space="preserve"> TA \s "§ 1101(a)(48)(A)" </w:instrText>
      </w:r>
      <w:r w:rsidRPr="00201C83">
        <w:rPr>
          <w:color w:val="000000" w:themeColor="text1"/>
        </w:rPr>
        <w:fldChar w:fldCharType="end"/>
      </w:r>
      <w:r w:rsidRPr="00201C83">
        <w:rPr>
          <w:color w:val="000000" w:themeColor="text1"/>
        </w:rPr>
        <w:t xml:space="preserve"> defer</w:t>
      </w:r>
      <w:r w:rsidR="00436DC9">
        <w:rPr>
          <w:color w:val="000000" w:themeColor="text1"/>
        </w:rPr>
        <w:t>s</w:t>
      </w:r>
      <w:r w:rsidRPr="00201C83">
        <w:rPr>
          <w:color w:val="000000" w:themeColor="text1"/>
        </w:rPr>
        <w:t xml:space="preserve"> to the </w:t>
      </w:r>
      <w:r w:rsidR="00436DC9">
        <w:rPr>
          <w:color w:val="000000" w:themeColor="text1"/>
        </w:rPr>
        <w:t>S</w:t>
      </w:r>
      <w:r w:rsidRPr="00201C83" w:rsidR="00436DC9">
        <w:rPr>
          <w:color w:val="000000" w:themeColor="text1"/>
        </w:rPr>
        <w:t xml:space="preserve">tates’ </w:t>
      </w:r>
      <w:r w:rsidRPr="00201C83">
        <w:rPr>
          <w:color w:val="000000" w:themeColor="text1"/>
        </w:rPr>
        <w:t>traditional police power</w:t>
      </w:r>
      <w:r w:rsidR="00436DC9">
        <w:rPr>
          <w:color w:val="000000" w:themeColor="text1"/>
        </w:rPr>
        <w:t>s over convictions</w:t>
      </w:r>
      <w:r w:rsidRPr="00201C83">
        <w:rPr>
          <w:color w:val="000000" w:themeColor="text1"/>
        </w:rPr>
        <w:t xml:space="preserve">. </w:t>
      </w:r>
    </w:p>
    <w:p w:rsidRPr="00201C83" w:rsidR="00D272F5" w:rsidP="00302BF8" w:rsidRDefault="00D272F5" w14:paraId="36E0D74F" w14:textId="77777777">
      <w:pPr>
        <w:ind w:firstLine="720"/>
        <w:rPr>
          <w:color w:val="000000" w:themeColor="text1"/>
        </w:rPr>
      </w:pPr>
    </w:p>
    <w:p w:rsidR="00703B12" w:rsidP="00B728F8" w:rsidRDefault="00E2251D" w14:paraId="1A91E021" w14:textId="6AB0C159">
      <w:pPr>
        <w:ind w:firstLine="720"/>
        <w:rPr>
          <w:color w:val="000000" w:themeColor="text1"/>
        </w:rPr>
      </w:pPr>
      <w:r w:rsidRPr="00201C83">
        <w:rPr>
          <w:color w:val="000000" w:themeColor="text1"/>
        </w:rPr>
        <w:t>T</w:t>
      </w:r>
      <w:r w:rsidRPr="00201C83" w:rsidR="00012C17">
        <w:rPr>
          <w:color w:val="000000" w:themeColor="text1"/>
        </w:rPr>
        <w:t>he text of</w:t>
      </w:r>
      <w:r w:rsidR="00436DC9">
        <w:rPr>
          <w:color w:val="000000" w:themeColor="text1"/>
        </w:rPr>
        <w:t xml:space="preserve"> §</w:t>
      </w:r>
      <w:r w:rsidRPr="00201C83">
        <w:rPr>
          <w:color w:val="000000" w:themeColor="text1"/>
        </w:rPr>
        <w:t xml:space="preserve"> </w:t>
      </w:r>
      <w:r w:rsidRPr="00201C83" w:rsidR="00012C17">
        <w:rPr>
          <w:color w:val="000000" w:themeColor="text1"/>
        </w:rPr>
        <w:t>101(a)(48)</w:t>
      </w:r>
      <w:r w:rsidRPr="00201C83" w:rsidR="00012C17">
        <w:rPr>
          <w:color w:val="000000" w:themeColor="text1"/>
        </w:rPr>
        <w:fldChar w:fldCharType="begin"/>
      </w:r>
      <w:r w:rsidRPr="00201C83" w:rsidR="00012C17">
        <w:rPr>
          <w:color w:val="000000" w:themeColor="text1"/>
        </w:rPr>
        <w:instrText xml:space="preserve"> TA \s "§ 1101(a)(48)" </w:instrText>
      </w:r>
      <w:r w:rsidRPr="00201C83" w:rsidR="00012C17">
        <w:rPr>
          <w:color w:val="000000" w:themeColor="text1"/>
        </w:rPr>
        <w:fldChar w:fldCharType="end"/>
      </w:r>
      <w:r w:rsidRPr="00201C83" w:rsidR="00012C17">
        <w:rPr>
          <w:color w:val="000000" w:themeColor="text1"/>
        </w:rPr>
        <w:t xml:space="preserve">(A) does not </w:t>
      </w:r>
      <w:r w:rsidRPr="00201C83">
        <w:rPr>
          <w:color w:val="000000" w:themeColor="text1"/>
        </w:rPr>
        <w:t xml:space="preserve">state </w:t>
      </w:r>
      <w:r w:rsidR="00436DC9">
        <w:rPr>
          <w:color w:val="000000" w:themeColor="text1"/>
        </w:rPr>
        <w:t>any</w:t>
      </w:r>
      <w:r w:rsidRPr="00201C83" w:rsidR="00436DC9">
        <w:rPr>
          <w:color w:val="000000" w:themeColor="text1"/>
        </w:rPr>
        <w:t xml:space="preserve"> </w:t>
      </w:r>
      <w:r w:rsidRPr="00201C83">
        <w:rPr>
          <w:color w:val="000000" w:themeColor="text1"/>
        </w:rPr>
        <w:t xml:space="preserve">intent to include </w:t>
      </w:r>
      <w:r w:rsidRPr="00201C83" w:rsidR="00012C17">
        <w:rPr>
          <w:color w:val="000000" w:themeColor="text1"/>
        </w:rPr>
        <w:t xml:space="preserve">convictions that have been </w:t>
      </w:r>
      <w:r w:rsidRPr="00201C83" w:rsidR="0065712A">
        <w:rPr>
          <w:color w:val="000000" w:themeColor="text1"/>
        </w:rPr>
        <w:t>vacated</w:t>
      </w:r>
      <w:r w:rsidRPr="00201C83" w:rsidR="0001081D">
        <w:rPr>
          <w:color w:val="000000" w:themeColor="text1"/>
        </w:rPr>
        <w:t xml:space="preserve"> or expunged</w:t>
      </w:r>
      <w:r w:rsidRPr="00201C83" w:rsidR="007954DF">
        <w:rPr>
          <w:color w:val="000000" w:themeColor="text1"/>
        </w:rPr>
        <w:t xml:space="preserve">. </w:t>
      </w:r>
      <w:r w:rsidRPr="00201C83" w:rsidR="006E4D2E">
        <w:rPr>
          <w:bCs/>
          <w:i/>
          <w:iCs/>
          <w:color w:val="000000" w:themeColor="text1"/>
        </w:rPr>
        <w:t>See</w:t>
      </w:r>
      <w:r w:rsidRPr="00201C83" w:rsidR="006E4D2E">
        <w:rPr>
          <w:bCs/>
          <w:color w:val="000000" w:themeColor="text1"/>
        </w:rPr>
        <w:t xml:space="preserve"> </w:t>
      </w:r>
      <w:proofErr w:type="gramStart"/>
      <w:r w:rsidRPr="00201C83" w:rsidR="006E4D2E">
        <w:rPr>
          <w:bCs/>
          <w:i/>
          <w:iCs/>
          <w:color w:val="000000" w:themeColor="text1"/>
        </w:rPr>
        <w:t>supra</w:t>
      </w:r>
      <w:r w:rsidRPr="00201C83" w:rsidR="006E4D2E">
        <w:rPr>
          <w:bCs/>
          <w:color w:val="000000" w:themeColor="text1"/>
        </w:rPr>
        <w:t xml:space="preserve"> Section </w:t>
      </w:r>
      <w:r w:rsidR="00706AE8">
        <w:rPr>
          <w:bCs/>
          <w:color w:val="000000" w:themeColor="text1"/>
        </w:rPr>
        <w:t>I</w:t>
      </w:r>
      <w:r w:rsidRPr="00201C83" w:rsidR="006E4D2E">
        <w:rPr>
          <w:bCs/>
          <w:color w:val="000000" w:themeColor="text1"/>
        </w:rPr>
        <w:t>I</w:t>
      </w:r>
      <w:proofErr w:type="gramEnd"/>
      <w:r w:rsidRPr="00201C83">
        <w:rPr>
          <w:bCs/>
          <w:color w:val="000000" w:themeColor="text1"/>
        </w:rPr>
        <w:t>.</w:t>
      </w:r>
      <w:r w:rsidRPr="00201C83" w:rsidR="007954DF">
        <w:rPr>
          <w:color w:val="000000" w:themeColor="text1"/>
        </w:rPr>
        <w:t xml:space="preserve"> </w:t>
      </w:r>
      <w:r w:rsidRPr="00201C83">
        <w:rPr>
          <w:color w:val="000000" w:themeColor="text1"/>
        </w:rPr>
        <w:t>The section’s</w:t>
      </w:r>
      <w:r w:rsidRPr="00201C83" w:rsidR="00012C17">
        <w:rPr>
          <w:color w:val="000000" w:themeColor="text1"/>
        </w:rPr>
        <w:t xml:space="preserve"> l</w:t>
      </w:r>
      <w:r w:rsidRPr="00201C83" w:rsidR="00703B12">
        <w:rPr>
          <w:color w:val="000000" w:themeColor="text1"/>
        </w:rPr>
        <w:t xml:space="preserve">egislative history </w:t>
      </w:r>
      <w:r w:rsidRPr="00201C83">
        <w:rPr>
          <w:color w:val="000000" w:themeColor="text1"/>
        </w:rPr>
        <w:t>also</w:t>
      </w:r>
      <w:r w:rsidRPr="00201C83" w:rsidR="000D538F">
        <w:rPr>
          <w:color w:val="000000" w:themeColor="text1"/>
        </w:rPr>
        <w:t xml:space="preserve"> does not</w:t>
      </w:r>
      <w:r w:rsidRPr="00201C83">
        <w:rPr>
          <w:color w:val="000000" w:themeColor="text1"/>
        </w:rPr>
        <w:t xml:space="preserve"> state or</w:t>
      </w:r>
      <w:r w:rsidRPr="00201C83" w:rsidR="000D538F">
        <w:rPr>
          <w:color w:val="000000" w:themeColor="text1"/>
        </w:rPr>
        <w:t xml:space="preserve"> indicate any </w:t>
      </w:r>
      <w:r w:rsidRPr="00201C83" w:rsidR="00703B12">
        <w:rPr>
          <w:color w:val="000000" w:themeColor="text1"/>
        </w:rPr>
        <w:t xml:space="preserve">intent to include vacated </w:t>
      </w:r>
      <w:r w:rsidRPr="00201C83" w:rsidR="0017170A">
        <w:rPr>
          <w:color w:val="000000" w:themeColor="text1"/>
        </w:rPr>
        <w:t xml:space="preserve">or expunged </w:t>
      </w:r>
      <w:r w:rsidRPr="00201C83" w:rsidR="00703B12">
        <w:rPr>
          <w:color w:val="000000" w:themeColor="text1"/>
        </w:rPr>
        <w:t xml:space="preserve">convictions </w:t>
      </w:r>
      <w:r w:rsidRPr="00201C83" w:rsidR="000D538F">
        <w:rPr>
          <w:color w:val="000000" w:themeColor="text1"/>
        </w:rPr>
        <w:t>within the</w:t>
      </w:r>
      <w:r w:rsidRPr="00201C83" w:rsidR="00703B12">
        <w:rPr>
          <w:color w:val="000000" w:themeColor="text1"/>
        </w:rPr>
        <w:t xml:space="preserve"> </w:t>
      </w:r>
      <w:r w:rsidRPr="00201C83">
        <w:rPr>
          <w:color w:val="000000" w:themeColor="text1"/>
        </w:rPr>
        <w:t xml:space="preserve">conviction </w:t>
      </w:r>
      <w:r w:rsidRPr="00201C83" w:rsidR="00703B12">
        <w:rPr>
          <w:color w:val="000000" w:themeColor="text1"/>
        </w:rPr>
        <w:t>definition.</w:t>
      </w:r>
      <w:r w:rsidRPr="00201C83">
        <w:rPr>
          <w:color w:val="000000" w:themeColor="text1"/>
        </w:rPr>
        <w:t xml:space="preserve"> </w:t>
      </w:r>
      <w:r w:rsidRPr="00201C83">
        <w:rPr>
          <w:i/>
          <w:iCs/>
          <w:color w:val="000000" w:themeColor="text1"/>
        </w:rPr>
        <w:t xml:space="preserve">See </w:t>
      </w:r>
      <w:proofErr w:type="gramStart"/>
      <w:r w:rsidRPr="00201C83">
        <w:rPr>
          <w:i/>
          <w:iCs/>
          <w:color w:val="000000" w:themeColor="text1"/>
        </w:rPr>
        <w:t>supra</w:t>
      </w:r>
      <w:r w:rsidRPr="00201C83">
        <w:rPr>
          <w:color w:val="000000" w:themeColor="text1"/>
        </w:rPr>
        <w:t xml:space="preserve"> Section II</w:t>
      </w:r>
      <w:r w:rsidR="00706AE8">
        <w:rPr>
          <w:color w:val="000000" w:themeColor="text1"/>
        </w:rPr>
        <w:t>I</w:t>
      </w:r>
      <w:proofErr w:type="gramEnd"/>
      <w:r w:rsidRPr="00201C83">
        <w:rPr>
          <w:color w:val="000000" w:themeColor="text1"/>
        </w:rPr>
        <w:t>.</w:t>
      </w:r>
      <w:r w:rsidRPr="00201C83" w:rsidR="00012C17">
        <w:rPr>
          <w:color w:val="000000" w:themeColor="text1"/>
        </w:rPr>
        <w:t xml:space="preserve"> This silence falls far short of the </w:t>
      </w:r>
      <w:r w:rsidR="00BD0E40">
        <w:rPr>
          <w:color w:val="000000" w:themeColor="text1"/>
        </w:rPr>
        <w:t>“</w:t>
      </w:r>
      <w:r w:rsidRPr="00201C83" w:rsidR="00012C17">
        <w:rPr>
          <w:color w:val="000000" w:themeColor="text1"/>
        </w:rPr>
        <w:t>clear</w:t>
      </w:r>
      <w:r w:rsidR="00BD0E40">
        <w:rPr>
          <w:color w:val="000000" w:themeColor="text1"/>
        </w:rPr>
        <w:t>”</w:t>
      </w:r>
      <w:r w:rsidRPr="00201C83" w:rsidR="00012C17">
        <w:rPr>
          <w:color w:val="000000" w:themeColor="text1"/>
        </w:rPr>
        <w:t xml:space="preserve"> statement of intent that is required to intrude on the traditional balance between federal and state powers in the realm of state criminal laws.</w:t>
      </w:r>
    </w:p>
    <w:p w:rsidRPr="00940662" w:rsidR="00D272F5" w:rsidP="00B728F8" w:rsidRDefault="00D272F5" w14:paraId="19F65065" w14:textId="77777777">
      <w:pPr>
        <w:ind w:firstLine="720"/>
        <w:rPr>
          <w:color w:val="000000" w:themeColor="text1"/>
        </w:rPr>
      </w:pPr>
    </w:p>
    <w:p w:rsidRPr="00201C83" w:rsidR="002F293F" w:rsidP="004838D7" w:rsidRDefault="007954DF" w14:paraId="7E514B0F" w14:textId="756A2DB7">
      <w:pPr>
        <w:ind w:firstLine="720"/>
        <w:rPr>
          <w:b/>
          <w:color w:val="000000" w:themeColor="text1"/>
        </w:rPr>
      </w:pPr>
      <w:r w:rsidRPr="00201C83">
        <w:rPr>
          <w:color w:val="000000" w:themeColor="text1"/>
        </w:rPr>
        <w:t>By construing the immigration laws to includ</w:t>
      </w:r>
      <w:r w:rsidRPr="00201C83" w:rsidR="00E2251D">
        <w:rPr>
          <w:color w:val="000000" w:themeColor="text1"/>
        </w:rPr>
        <w:t>e</w:t>
      </w:r>
      <w:r w:rsidRPr="00201C83">
        <w:rPr>
          <w:color w:val="000000" w:themeColor="text1"/>
        </w:rPr>
        <w:t xml:space="preserve"> in the “conviction” definition</w:t>
      </w:r>
      <w:r w:rsidRPr="00201C83" w:rsidR="00E2251D">
        <w:rPr>
          <w:color w:val="000000" w:themeColor="text1"/>
        </w:rPr>
        <w:t xml:space="preserve"> dispositions that have been expunged and vac</w:t>
      </w:r>
      <w:r w:rsidRPr="00201C83" w:rsidR="00867C07">
        <w:rPr>
          <w:color w:val="000000" w:themeColor="text1"/>
        </w:rPr>
        <w:t>a</w:t>
      </w:r>
      <w:r w:rsidRPr="00201C83" w:rsidR="00E2251D">
        <w:rPr>
          <w:color w:val="000000" w:themeColor="text1"/>
        </w:rPr>
        <w:t xml:space="preserve">ted, </w:t>
      </w:r>
      <w:r w:rsidRPr="00201C83">
        <w:rPr>
          <w:i/>
          <w:iCs/>
          <w:color w:val="000000" w:themeColor="text1"/>
        </w:rPr>
        <w:t>Roldan</w:t>
      </w:r>
      <w:r w:rsidRPr="00201C83">
        <w:rPr>
          <w:color w:val="000000" w:themeColor="text1"/>
        </w:rPr>
        <w:t xml:space="preserve"> and </w:t>
      </w:r>
      <w:r w:rsidRPr="00201C83">
        <w:rPr>
          <w:i/>
          <w:iCs/>
          <w:color w:val="000000" w:themeColor="text1"/>
        </w:rPr>
        <w:t>Pickering</w:t>
      </w:r>
      <w:r w:rsidRPr="00201C83">
        <w:rPr>
          <w:color w:val="000000" w:themeColor="text1"/>
        </w:rPr>
        <w:t xml:space="preserve"> </w:t>
      </w:r>
      <w:r w:rsidRPr="00201C83" w:rsidR="00E2251D">
        <w:rPr>
          <w:color w:val="000000" w:themeColor="text1"/>
        </w:rPr>
        <w:t xml:space="preserve">have </w:t>
      </w:r>
      <w:r w:rsidRPr="00201C83" w:rsidR="000D538F">
        <w:rPr>
          <w:color w:val="000000" w:themeColor="text1"/>
        </w:rPr>
        <w:t>disturb</w:t>
      </w:r>
      <w:r w:rsidRPr="00201C83">
        <w:rPr>
          <w:color w:val="000000" w:themeColor="text1"/>
        </w:rPr>
        <w:t>ed</w:t>
      </w:r>
      <w:r w:rsidRPr="00201C83" w:rsidR="000D538F">
        <w:rPr>
          <w:color w:val="000000" w:themeColor="text1"/>
        </w:rPr>
        <w:t xml:space="preserve"> fundamental state sovereignty over </w:t>
      </w:r>
      <w:r w:rsidRPr="00201C83">
        <w:rPr>
          <w:color w:val="000000" w:themeColor="text1"/>
        </w:rPr>
        <w:t>disposition</w:t>
      </w:r>
      <w:r w:rsidRPr="00201C83" w:rsidR="00E2251D">
        <w:rPr>
          <w:color w:val="000000" w:themeColor="text1"/>
        </w:rPr>
        <w:t>s</w:t>
      </w:r>
      <w:r w:rsidRPr="00201C83">
        <w:rPr>
          <w:color w:val="000000" w:themeColor="text1"/>
        </w:rPr>
        <w:t xml:space="preserve"> of charged criminal conduct, without required statutory authority.</w:t>
      </w:r>
    </w:p>
    <w:p w:rsidRPr="00201C83" w:rsidR="002F293F" w:rsidP="00201C83" w:rsidRDefault="002F293F" w14:paraId="5B36BEA0" w14:textId="7F19FB7A">
      <w:pPr>
        <w:rPr>
          <w:color w:val="000000" w:themeColor="text1"/>
        </w:rPr>
      </w:pPr>
    </w:p>
    <w:p w:rsidRPr="00201C83" w:rsidR="002F293F" w:rsidP="00E554C3" w:rsidRDefault="00F21A03" w14:paraId="122E406E" w14:textId="0B755766">
      <w:pPr>
        <w:pStyle w:val="Heading3"/>
      </w:pPr>
      <w:r w:rsidRPr="00201C83">
        <w:t xml:space="preserve">Criminal </w:t>
      </w:r>
      <w:r w:rsidR="00BD7C8B">
        <w:t>R</w:t>
      </w:r>
      <w:r w:rsidRPr="00201C83">
        <w:t xml:space="preserve">ule </w:t>
      </w:r>
      <w:r w:rsidRPr="00201C83" w:rsidR="00703B12">
        <w:t xml:space="preserve">of </w:t>
      </w:r>
      <w:r w:rsidR="00BD7C8B">
        <w:t>L</w:t>
      </w:r>
      <w:r w:rsidRPr="00201C83" w:rsidR="00703B12">
        <w:t>enity</w:t>
      </w:r>
      <w:r w:rsidRPr="00201C83" w:rsidR="003B3ADC">
        <w:t xml:space="preserve">: </w:t>
      </w:r>
      <w:r w:rsidR="00BD7C8B">
        <w:t>A</w:t>
      </w:r>
      <w:r w:rsidRPr="00201C83" w:rsidR="003B3ADC">
        <w:t xml:space="preserve">ny </w:t>
      </w:r>
      <w:r w:rsidRPr="00201C83" w:rsidR="00BD0E40">
        <w:t>ambiguit</w:t>
      </w:r>
      <w:r w:rsidR="00BD0E40">
        <w:t>y</w:t>
      </w:r>
      <w:r w:rsidRPr="00201C83" w:rsidR="00BD0E40">
        <w:t xml:space="preserve"> </w:t>
      </w:r>
      <w:r w:rsidRPr="00201C83" w:rsidR="003B3ADC">
        <w:t xml:space="preserve">in the </w:t>
      </w:r>
      <w:r w:rsidR="0000388B">
        <w:t>INA</w:t>
      </w:r>
      <w:r w:rsidRPr="00201C83" w:rsidR="0000388B">
        <w:t xml:space="preserve"> </w:t>
      </w:r>
      <w:r w:rsidRPr="00201C83" w:rsidR="003B3ADC">
        <w:t xml:space="preserve">“conviction” definition </w:t>
      </w:r>
      <w:r w:rsidRPr="00201C83" w:rsidR="00A41361">
        <w:t>must</w:t>
      </w:r>
      <w:r w:rsidRPr="00201C83" w:rsidR="003B3ADC">
        <w:t xml:space="preserve"> be resolved </w:t>
      </w:r>
      <w:r w:rsidR="0000388B">
        <w:t>in favor of the defendant, to exclude</w:t>
      </w:r>
      <w:r w:rsidRPr="00201C83">
        <w:t xml:space="preserve"> vacated and expunged convictions</w:t>
      </w:r>
      <w:r w:rsidRPr="00201C83" w:rsidR="00703B12">
        <w:t xml:space="preserve">. </w:t>
      </w:r>
    </w:p>
    <w:p w:rsidR="00BD7C8B" w:rsidP="002F293F" w:rsidRDefault="00BD7C8B" w14:paraId="6DF1EAA9" w14:textId="77777777">
      <w:pPr>
        <w:ind w:firstLine="720"/>
        <w:rPr>
          <w:color w:val="000000" w:themeColor="text1"/>
        </w:rPr>
      </w:pPr>
    </w:p>
    <w:p w:rsidR="002F293F" w:rsidP="002F293F" w:rsidRDefault="00CF4CA4" w14:paraId="53FC2E9F" w14:textId="2391BF48">
      <w:pPr>
        <w:ind w:firstLine="720"/>
        <w:rPr>
          <w:color w:val="000000" w:themeColor="text1"/>
        </w:rPr>
      </w:pPr>
      <w:r w:rsidRPr="00201C83">
        <w:rPr>
          <w:color w:val="000000" w:themeColor="text1"/>
        </w:rPr>
        <w:t xml:space="preserve">As discussed above, the </w:t>
      </w:r>
      <w:r w:rsidRPr="00201C83" w:rsidR="00DF2048">
        <w:rPr>
          <w:color w:val="000000" w:themeColor="text1"/>
        </w:rPr>
        <w:t xml:space="preserve">statutory text </w:t>
      </w:r>
      <w:r w:rsidRPr="00201C83">
        <w:rPr>
          <w:color w:val="000000" w:themeColor="text1"/>
        </w:rPr>
        <w:t xml:space="preserve">and </w:t>
      </w:r>
      <w:r w:rsidRPr="00201C83" w:rsidR="00DF2048">
        <w:rPr>
          <w:color w:val="000000" w:themeColor="text1"/>
        </w:rPr>
        <w:t>relevant legislative history</w:t>
      </w:r>
      <w:r w:rsidRPr="00201C83">
        <w:rPr>
          <w:color w:val="000000" w:themeColor="text1"/>
        </w:rPr>
        <w:t xml:space="preserve"> unambiguously confirm that the “conviction” definition does not include convictions that have been eliminated through post-conviction action such as vacatur or expungement. </w:t>
      </w:r>
      <w:r w:rsidRPr="00201C83">
        <w:rPr>
          <w:i/>
          <w:color w:val="000000" w:themeColor="text1"/>
        </w:rPr>
        <w:t xml:space="preserve">See </w:t>
      </w:r>
      <w:proofErr w:type="gramStart"/>
      <w:r w:rsidRPr="00201C83">
        <w:rPr>
          <w:i/>
          <w:color w:val="000000" w:themeColor="text1"/>
        </w:rPr>
        <w:t>supra</w:t>
      </w:r>
      <w:r w:rsidRPr="00201C83">
        <w:rPr>
          <w:iCs/>
          <w:color w:val="000000" w:themeColor="text1"/>
        </w:rPr>
        <w:t xml:space="preserve"> Sections II</w:t>
      </w:r>
      <w:proofErr w:type="gramEnd"/>
      <w:r w:rsidRPr="00201C83">
        <w:rPr>
          <w:iCs/>
          <w:color w:val="000000" w:themeColor="text1"/>
        </w:rPr>
        <w:t>, III</w:t>
      </w:r>
      <w:r w:rsidR="00195FA9">
        <w:rPr>
          <w:iCs/>
          <w:color w:val="000000" w:themeColor="text1"/>
        </w:rPr>
        <w:t>,</w:t>
      </w:r>
      <w:r w:rsidRPr="00201C83">
        <w:rPr>
          <w:iCs/>
          <w:color w:val="000000" w:themeColor="text1"/>
        </w:rPr>
        <w:t xml:space="preserve"> IV.</w:t>
      </w:r>
      <w:r w:rsidRPr="00201C83">
        <w:rPr>
          <w:color w:val="000000" w:themeColor="text1"/>
        </w:rPr>
        <w:t xml:space="preserve"> </w:t>
      </w:r>
      <w:r w:rsidRPr="00201C83" w:rsidR="001029A7">
        <w:rPr>
          <w:color w:val="000000" w:themeColor="text1"/>
        </w:rPr>
        <w:t xml:space="preserve">In the event of ambiguity on this point, </w:t>
      </w:r>
      <w:r w:rsidRPr="00201C83" w:rsidR="00DF2048">
        <w:rPr>
          <w:color w:val="000000" w:themeColor="text1"/>
        </w:rPr>
        <w:t>such ambiguities must be resolved in favor of nonciti</w:t>
      </w:r>
      <w:r w:rsidRPr="00201C83" w:rsidR="003B3ADC">
        <w:rPr>
          <w:color w:val="000000" w:themeColor="text1"/>
        </w:rPr>
        <w:t>zens</w:t>
      </w:r>
      <w:r w:rsidRPr="00201C83" w:rsidR="00DF2048">
        <w:rPr>
          <w:color w:val="000000" w:themeColor="text1"/>
        </w:rPr>
        <w:t xml:space="preserve"> under the </w:t>
      </w:r>
      <w:r w:rsidRPr="00201C83" w:rsidR="00A41361">
        <w:rPr>
          <w:color w:val="000000" w:themeColor="text1"/>
        </w:rPr>
        <w:t xml:space="preserve">criminal </w:t>
      </w:r>
      <w:r w:rsidRPr="00201C83" w:rsidR="00DF2048">
        <w:rPr>
          <w:color w:val="000000" w:themeColor="text1"/>
        </w:rPr>
        <w:t>rule of len</w:t>
      </w:r>
      <w:r w:rsidRPr="00201C83" w:rsidR="003B3ADC">
        <w:rPr>
          <w:color w:val="000000" w:themeColor="text1"/>
        </w:rPr>
        <w:t>it</w:t>
      </w:r>
      <w:r w:rsidRPr="00201C83" w:rsidR="00DF2048">
        <w:rPr>
          <w:color w:val="000000" w:themeColor="text1"/>
        </w:rPr>
        <w:t>y</w:t>
      </w:r>
      <w:r w:rsidR="00BD7C8B">
        <w:rPr>
          <w:color w:val="000000" w:themeColor="text1"/>
        </w:rPr>
        <w:t>,</w:t>
      </w:r>
      <w:r w:rsidRPr="00201C83" w:rsidR="001029A7">
        <w:rPr>
          <w:color w:val="000000" w:themeColor="text1"/>
        </w:rPr>
        <w:t xml:space="preserve"> to exclude vacated or expunged convictions</w:t>
      </w:r>
      <w:r w:rsidRPr="00201C83" w:rsidR="00DF2048">
        <w:rPr>
          <w:color w:val="000000" w:themeColor="text1"/>
        </w:rPr>
        <w:t>.</w:t>
      </w:r>
      <w:r w:rsidRPr="00201C83" w:rsidR="003B3ADC">
        <w:rPr>
          <w:color w:val="000000" w:themeColor="text1"/>
        </w:rPr>
        <w:t xml:space="preserve"> </w:t>
      </w:r>
      <w:r w:rsidRPr="00201C83" w:rsidR="001029A7">
        <w:rPr>
          <w:i/>
          <w:iCs/>
          <w:color w:val="000000" w:themeColor="text1"/>
        </w:rPr>
        <w:t xml:space="preserve">Cf. </w:t>
      </w:r>
      <w:proofErr w:type="spellStart"/>
      <w:r w:rsidRPr="00201C83" w:rsidR="003B3ADC">
        <w:rPr>
          <w:i/>
          <w:iCs/>
          <w:color w:val="000000" w:themeColor="text1"/>
        </w:rPr>
        <w:t>Leocal</w:t>
      </w:r>
      <w:proofErr w:type="spellEnd"/>
      <w:r w:rsidRPr="00201C83" w:rsidR="003B3ADC">
        <w:rPr>
          <w:i/>
          <w:iCs/>
          <w:color w:val="000000" w:themeColor="text1"/>
        </w:rPr>
        <w:t xml:space="preserve"> v. Ashcroft</w:t>
      </w:r>
      <w:r w:rsidRPr="00201C83" w:rsidR="003B3ADC">
        <w:rPr>
          <w:color w:val="000000" w:themeColor="text1"/>
        </w:rPr>
        <w:t xml:space="preserve">, </w:t>
      </w:r>
      <w:r w:rsidRPr="00201C83" w:rsidR="002D55C9">
        <w:rPr>
          <w:color w:val="000000" w:themeColor="text1"/>
        </w:rPr>
        <w:t>543 U.S. 1,</w:t>
      </w:r>
      <w:r w:rsidRPr="00201C83" w:rsidR="003B3ADC">
        <w:rPr>
          <w:color w:val="000000" w:themeColor="text1"/>
        </w:rPr>
        <w:t xml:space="preserve"> </w:t>
      </w:r>
      <w:r w:rsidRPr="00201C83" w:rsidR="002D55C9">
        <w:rPr>
          <w:color w:val="000000" w:themeColor="text1"/>
        </w:rPr>
        <w:t xml:space="preserve">11 </w:t>
      </w:r>
      <w:r w:rsidRPr="00201C83" w:rsidR="003B3ADC">
        <w:rPr>
          <w:color w:val="000000" w:themeColor="text1"/>
        </w:rPr>
        <w:t>n.8 (2004) (</w:t>
      </w:r>
      <w:r w:rsidRPr="00201C83" w:rsidR="00C62065">
        <w:rPr>
          <w:color w:val="000000" w:themeColor="text1"/>
        </w:rPr>
        <w:t>noting that the rule of lenity applies</w:t>
      </w:r>
      <w:r w:rsidR="00CC3A33">
        <w:rPr>
          <w:color w:val="000000" w:themeColor="text1"/>
        </w:rPr>
        <w:t xml:space="preserve"> to </w:t>
      </w:r>
      <w:r w:rsidRPr="00201C83" w:rsidR="00C62065">
        <w:rPr>
          <w:color w:val="000000" w:themeColor="text1"/>
        </w:rPr>
        <w:t xml:space="preserve">a criminal statute </w:t>
      </w:r>
      <w:r w:rsidR="00CC3A33">
        <w:rPr>
          <w:color w:val="000000" w:themeColor="text1"/>
        </w:rPr>
        <w:t xml:space="preserve">that </w:t>
      </w:r>
      <w:r w:rsidRPr="00201C83" w:rsidR="00C62065">
        <w:rPr>
          <w:color w:val="000000" w:themeColor="text1"/>
        </w:rPr>
        <w:t>has both criminal and noncriminal application</w:t>
      </w:r>
      <w:r w:rsidRPr="00201C83" w:rsidR="00721E27">
        <w:rPr>
          <w:color w:val="000000" w:themeColor="text1"/>
        </w:rPr>
        <w:t>—including in the deportation context—</w:t>
      </w:r>
      <w:r w:rsidRPr="00201C83" w:rsidR="00C62065">
        <w:rPr>
          <w:color w:val="000000" w:themeColor="text1"/>
        </w:rPr>
        <w:t>and requires the Court “to interpret any ambiguity in the statute in petitioner’s favor”</w:t>
      </w:r>
      <w:r w:rsidRPr="00201C83" w:rsidR="003B3ADC">
        <w:rPr>
          <w:color w:val="000000" w:themeColor="text1"/>
        </w:rPr>
        <w:t>).</w:t>
      </w:r>
      <w:r w:rsidRPr="00201C83" w:rsidR="00DF2048">
        <w:rPr>
          <w:color w:val="000000" w:themeColor="text1"/>
        </w:rPr>
        <w:t xml:space="preserve"> Th</w:t>
      </w:r>
      <w:r w:rsidR="005553D2">
        <w:rPr>
          <w:color w:val="000000" w:themeColor="text1"/>
        </w:rPr>
        <w:t xml:space="preserve">e rule of lenity </w:t>
      </w:r>
      <w:r w:rsidRPr="00201C83" w:rsidR="00EC335A">
        <w:rPr>
          <w:color w:val="000000" w:themeColor="text1"/>
        </w:rPr>
        <w:t xml:space="preserve">provides that “where there is ambiguity in a criminal statute, doubts are resolved in favor of the defendant.” </w:t>
      </w:r>
      <w:r w:rsidRPr="00201C83" w:rsidR="00EC335A">
        <w:rPr>
          <w:i/>
          <w:color w:val="000000" w:themeColor="text1"/>
        </w:rPr>
        <w:t>Bass</w:t>
      </w:r>
      <w:r w:rsidRPr="00201C83" w:rsidR="00EC335A">
        <w:rPr>
          <w:color w:val="000000" w:themeColor="text1"/>
        </w:rPr>
        <w:t xml:space="preserve">, 404 U.S. </w:t>
      </w:r>
      <w:r w:rsidR="00436DC9">
        <w:rPr>
          <w:color w:val="000000" w:themeColor="text1"/>
        </w:rPr>
        <w:t>at</w:t>
      </w:r>
      <w:r w:rsidRPr="00201C83" w:rsidR="00EC335A">
        <w:rPr>
          <w:color w:val="000000" w:themeColor="text1"/>
        </w:rPr>
        <w:t xml:space="preserve"> </w:t>
      </w:r>
      <w:r w:rsidRPr="00201C83" w:rsidR="000A4E72">
        <w:rPr>
          <w:color w:val="000000" w:themeColor="text1"/>
        </w:rPr>
        <w:t>347</w:t>
      </w:r>
      <w:r w:rsidRPr="003F2D98" w:rsidR="00821AC9">
        <w:rPr>
          <w:color w:val="000000" w:themeColor="text1"/>
        </w:rPr>
        <w:t>–</w:t>
      </w:r>
      <w:r w:rsidRPr="00201C83" w:rsidR="000A4E72">
        <w:rPr>
          <w:color w:val="000000" w:themeColor="text1"/>
        </w:rPr>
        <w:t>48 (</w:t>
      </w:r>
      <w:r w:rsidRPr="00201C83" w:rsidR="002E0660">
        <w:rPr>
          <w:color w:val="000000" w:themeColor="text1"/>
        </w:rPr>
        <w:t>“[W]hen choice has to be made between two readings of what conduct Congress has made a crime, it is appropriate, before we choose the harsher alternative, to require that Congress should have spoken in language that is clear and definite.”</w:t>
      </w:r>
      <w:r w:rsidR="005553D2">
        <w:rPr>
          <w:color w:val="000000" w:themeColor="text1"/>
        </w:rPr>
        <w:t xml:space="preserve"> </w:t>
      </w:r>
      <w:r w:rsidRPr="00201C83" w:rsidR="005553D2">
        <w:rPr>
          <w:color w:val="000000" w:themeColor="text1"/>
        </w:rPr>
        <w:t>(</w:t>
      </w:r>
      <w:proofErr w:type="gramStart"/>
      <w:r w:rsidRPr="00201C83" w:rsidR="005553D2">
        <w:rPr>
          <w:color w:val="000000" w:themeColor="text1"/>
        </w:rPr>
        <w:t>internal</w:t>
      </w:r>
      <w:proofErr w:type="gramEnd"/>
      <w:r w:rsidRPr="00201C83" w:rsidR="005553D2">
        <w:rPr>
          <w:color w:val="000000" w:themeColor="text1"/>
        </w:rPr>
        <w:t xml:space="preserve"> quotation marks omitted)</w:t>
      </w:r>
      <w:r w:rsidRPr="00201C83" w:rsidR="000A4E72">
        <w:rPr>
          <w:color w:val="000000" w:themeColor="text1"/>
        </w:rPr>
        <w:t>).</w:t>
      </w:r>
      <w:r w:rsidRPr="00201C83" w:rsidR="00EE37D7">
        <w:rPr>
          <w:color w:val="000000" w:themeColor="text1"/>
        </w:rPr>
        <w:t xml:space="preserve"> </w:t>
      </w:r>
    </w:p>
    <w:p w:rsidRPr="00201C83" w:rsidR="00D272F5" w:rsidP="002F293F" w:rsidRDefault="00D272F5" w14:paraId="04D869B9" w14:textId="77777777">
      <w:pPr>
        <w:ind w:firstLine="720"/>
        <w:rPr>
          <w:color w:val="000000" w:themeColor="text1"/>
        </w:rPr>
      </w:pPr>
    </w:p>
    <w:p w:rsidR="002F293F" w:rsidP="002F293F" w:rsidRDefault="00703B12" w14:paraId="305EC810" w14:textId="7D5C962D">
      <w:pPr>
        <w:ind w:firstLine="720"/>
        <w:rPr>
          <w:color w:val="000000" w:themeColor="text1"/>
        </w:rPr>
      </w:pPr>
      <w:r w:rsidRPr="00201C83">
        <w:rPr>
          <w:color w:val="000000" w:themeColor="text1"/>
        </w:rPr>
        <w:lastRenderedPageBreak/>
        <w:t xml:space="preserve">The rule </w:t>
      </w:r>
      <w:r w:rsidRPr="00201C83" w:rsidR="00721E27">
        <w:rPr>
          <w:color w:val="000000" w:themeColor="text1"/>
        </w:rPr>
        <w:t xml:space="preserve">of lenity </w:t>
      </w:r>
      <w:r w:rsidRPr="00201C83">
        <w:rPr>
          <w:color w:val="000000" w:themeColor="text1"/>
        </w:rPr>
        <w:t xml:space="preserve">applies </w:t>
      </w:r>
      <w:r w:rsidRPr="00201C83" w:rsidR="00207570">
        <w:rPr>
          <w:color w:val="000000" w:themeColor="text1"/>
        </w:rPr>
        <w:t>to interpretation of the INA conviction definition</w:t>
      </w:r>
      <w:r w:rsidRPr="00201C83">
        <w:rPr>
          <w:color w:val="000000" w:themeColor="text1"/>
        </w:rPr>
        <w:t xml:space="preserve"> because the INA attaches criminal penalties to prior criminal convictions, </w:t>
      </w:r>
      <w:r w:rsidRPr="00201C83">
        <w:rPr>
          <w:i/>
          <w:iCs/>
          <w:color w:val="000000" w:themeColor="text1"/>
        </w:rPr>
        <w:t>see, e.g.</w:t>
      </w:r>
      <w:r w:rsidRPr="00201C83">
        <w:rPr>
          <w:color w:val="000000" w:themeColor="text1"/>
        </w:rPr>
        <w:t xml:space="preserve">, </w:t>
      </w:r>
      <w:r w:rsidRPr="00201C83" w:rsidR="001029A7">
        <w:rPr>
          <w:color w:val="000000" w:themeColor="text1"/>
        </w:rPr>
        <w:t>8 U</w:t>
      </w:r>
      <w:r w:rsidR="00CC3A33">
        <w:rPr>
          <w:color w:val="000000" w:themeColor="text1"/>
        </w:rPr>
        <w:t>.</w:t>
      </w:r>
      <w:r w:rsidRPr="00201C83" w:rsidR="001029A7">
        <w:rPr>
          <w:color w:val="000000" w:themeColor="text1"/>
        </w:rPr>
        <w:t>S.C.</w:t>
      </w:r>
      <w:r w:rsidRPr="00201C83">
        <w:rPr>
          <w:color w:val="000000" w:themeColor="text1"/>
        </w:rPr>
        <w:t xml:space="preserve"> §§ 1324c(e)(2)</w:t>
      </w:r>
      <w:r w:rsidRPr="00201C83">
        <w:rPr>
          <w:color w:val="000000" w:themeColor="text1"/>
        </w:rPr>
        <w:fldChar w:fldCharType="begin"/>
      </w:r>
      <w:r w:rsidRPr="00201C83">
        <w:rPr>
          <w:color w:val="000000" w:themeColor="text1"/>
        </w:rPr>
        <w:instrText xml:space="preserve"> TA \l "8 U.S.C. § 1324c(e)(2)" \s "8 U.S.C. §§ 1324c(e)(2)" \c 2 </w:instrText>
      </w:r>
      <w:r w:rsidRPr="00201C83">
        <w:rPr>
          <w:color w:val="000000" w:themeColor="text1"/>
        </w:rPr>
        <w:fldChar w:fldCharType="end"/>
      </w:r>
      <w:r w:rsidRPr="00201C83">
        <w:rPr>
          <w:color w:val="000000" w:themeColor="text1"/>
        </w:rPr>
        <w:t>, 1326(b)</w:t>
      </w:r>
      <w:r w:rsidRPr="00201C83">
        <w:rPr>
          <w:color w:val="000000" w:themeColor="text1"/>
        </w:rPr>
        <w:fldChar w:fldCharType="begin"/>
      </w:r>
      <w:r w:rsidRPr="00201C83">
        <w:rPr>
          <w:color w:val="000000" w:themeColor="text1"/>
        </w:rPr>
        <w:instrText xml:space="preserve"> TA \l "8 U.S.C. § 1326(b)" \s "1326(b)" \c 2 </w:instrText>
      </w:r>
      <w:r w:rsidRPr="00201C83">
        <w:rPr>
          <w:color w:val="000000" w:themeColor="text1"/>
        </w:rPr>
        <w:fldChar w:fldCharType="end"/>
      </w:r>
      <w:r w:rsidRPr="00201C83">
        <w:rPr>
          <w:color w:val="000000" w:themeColor="text1"/>
        </w:rPr>
        <w:t>, 1327</w:t>
      </w:r>
      <w:r w:rsidRPr="00201C83">
        <w:rPr>
          <w:color w:val="000000" w:themeColor="text1"/>
        </w:rPr>
        <w:fldChar w:fldCharType="begin"/>
      </w:r>
      <w:r w:rsidRPr="00201C83">
        <w:rPr>
          <w:color w:val="000000" w:themeColor="text1"/>
        </w:rPr>
        <w:instrText xml:space="preserve"> TA \l "8 U.S.C. § 1327" \s "1327" \c 2 </w:instrText>
      </w:r>
      <w:r w:rsidRPr="00201C83">
        <w:rPr>
          <w:color w:val="000000" w:themeColor="text1"/>
        </w:rPr>
        <w:fldChar w:fldCharType="end"/>
      </w:r>
      <w:r w:rsidRPr="00201C83">
        <w:rPr>
          <w:color w:val="000000" w:themeColor="text1"/>
        </w:rPr>
        <w:t xml:space="preserve">, and the definition of </w:t>
      </w:r>
      <w:r w:rsidR="00CC3A33">
        <w:rPr>
          <w:color w:val="000000" w:themeColor="text1"/>
        </w:rPr>
        <w:t>“</w:t>
      </w:r>
      <w:r w:rsidRPr="00201C83">
        <w:rPr>
          <w:color w:val="000000" w:themeColor="text1"/>
        </w:rPr>
        <w:t>conviction</w:t>
      </w:r>
      <w:r w:rsidR="00CC3A33">
        <w:rPr>
          <w:color w:val="000000" w:themeColor="text1"/>
        </w:rPr>
        <w:t>”</w:t>
      </w:r>
      <w:r w:rsidRPr="00201C83">
        <w:rPr>
          <w:color w:val="000000" w:themeColor="text1"/>
        </w:rPr>
        <w:t xml:space="preserve"> applies to the entire </w:t>
      </w:r>
      <w:r w:rsidRPr="00201C83" w:rsidR="001029A7">
        <w:rPr>
          <w:color w:val="000000" w:themeColor="text1"/>
        </w:rPr>
        <w:t>Act</w:t>
      </w:r>
      <w:r w:rsidR="00CC3A33">
        <w:rPr>
          <w:color w:val="000000" w:themeColor="text1"/>
        </w:rPr>
        <w:t>,</w:t>
      </w:r>
      <w:r w:rsidRPr="00201C83" w:rsidR="00A9723D">
        <w:rPr>
          <w:color w:val="000000" w:themeColor="text1"/>
        </w:rPr>
        <w:t xml:space="preserve"> </w:t>
      </w:r>
      <w:r w:rsidR="00CC3A33">
        <w:rPr>
          <w:i/>
          <w:iCs/>
          <w:color w:val="000000" w:themeColor="text1"/>
        </w:rPr>
        <w:t>s</w:t>
      </w:r>
      <w:r w:rsidRPr="00201C83" w:rsidR="00A9723D">
        <w:rPr>
          <w:i/>
          <w:iCs/>
          <w:color w:val="000000" w:themeColor="text1"/>
        </w:rPr>
        <w:t>ee</w:t>
      </w:r>
      <w:r w:rsidRPr="00201C83" w:rsidR="00A9723D">
        <w:rPr>
          <w:color w:val="000000" w:themeColor="text1"/>
        </w:rPr>
        <w:t xml:space="preserve"> INA § 101, </w:t>
      </w:r>
      <w:r w:rsidRPr="00201C83">
        <w:rPr>
          <w:color w:val="000000" w:themeColor="text1"/>
        </w:rPr>
        <w:t>8 U.S.C. § 1101(a)</w:t>
      </w:r>
      <w:r w:rsidRPr="00201C83" w:rsidR="00EC335A">
        <w:rPr>
          <w:color w:val="000000" w:themeColor="text1"/>
        </w:rPr>
        <w:t>.</w:t>
      </w:r>
      <w:r w:rsidRPr="00201C83" w:rsidR="00CC6844">
        <w:rPr>
          <w:color w:val="000000" w:themeColor="text1"/>
        </w:rPr>
        <w:t xml:space="preserve"> </w:t>
      </w:r>
      <w:r w:rsidRPr="00201C83" w:rsidR="001029A7">
        <w:rPr>
          <w:i/>
          <w:iCs/>
          <w:color w:val="000000" w:themeColor="text1"/>
        </w:rPr>
        <w:t>See, e.g.</w:t>
      </w:r>
      <w:r w:rsidRPr="00201C83" w:rsidR="001029A7">
        <w:rPr>
          <w:color w:val="000000" w:themeColor="text1"/>
        </w:rPr>
        <w:t xml:space="preserve">, </w:t>
      </w:r>
      <w:r w:rsidRPr="00201C83" w:rsidR="002F293F">
        <w:rPr>
          <w:i/>
          <w:iCs/>
          <w:color w:val="000000" w:themeColor="text1"/>
        </w:rPr>
        <w:t xml:space="preserve">United States v. </w:t>
      </w:r>
      <w:r w:rsidRPr="00201C83" w:rsidR="001029A7">
        <w:rPr>
          <w:i/>
          <w:iCs/>
          <w:color w:val="000000" w:themeColor="text1"/>
        </w:rPr>
        <w:t>Thompson/Center Arms Co.</w:t>
      </w:r>
      <w:r w:rsidRPr="00201C83" w:rsidR="001029A7">
        <w:rPr>
          <w:color w:val="000000" w:themeColor="text1"/>
        </w:rPr>
        <w:t>, 504 U.S.</w:t>
      </w:r>
      <w:r w:rsidRPr="00201C83" w:rsidR="002F293F">
        <w:rPr>
          <w:color w:val="000000" w:themeColor="text1"/>
        </w:rPr>
        <w:t xml:space="preserve"> 505,</w:t>
      </w:r>
      <w:r w:rsidRPr="00201C83" w:rsidR="001029A7">
        <w:rPr>
          <w:color w:val="000000" w:themeColor="text1"/>
        </w:rPr>
        <w:t xml:space="preserve"> 518 n.10</w:t>
      </w:r>
      <w:r w:rsidRPr="00201C83" w:rsidR="002F293F">
        <w:rPr>
          <w:color w:val="000000" w:themeColor="text1"/>
        </w:rPr>
        <w:t xml:space="preserve"> (1992) (</w:t>
      </w:r>
      <w:r w:rsidR="00CC3A33">
        <w:rPr>
          <w:color w:val="000000" w:themeColor="text1"/>
        </w:rPr>
        <w:t xml:space="preserve">applying rule of lenity to a </w:t>
      </w:r>
      <w:r w:rsidRPr="00201C83" w:rsidR="002F293F">
        <w:rPr>
          <w:color w:val="000000" w:themeColor="text1"/>
        </w:rPr>
        <w:t xml:space="preserve">tax statute with </w:t>
      </w:r>
      <w:r w:rsidR="00CC3A33">
        <w:rPr>
          <w:color w:val="000000" w:themeColor="text1"/>
        </w:rPr>
        <w:t xml:space="preserve">both </w:t>
      </w:r>
      <w:r w:rsidRPr="00201C83" w:rsidR="002F293F">
        <w:rPr>
          <w:color w:val="000000" w:themeColor="text1"/>
        </w:rPr>
        <w:t>criminal and civil application</w:t>
      </w:r>
      <w:r w:rsidR="00CC3A33">
        <w:rPr>
          <w:color w:val="000000" w:themeColor="text1"/>
        </w:rPr>
        <w:t xml:space="preserve">, </w:t>
      </w:r>
      <w:r w:rsidR="00D25CC5">
        <w:rPr>
          <w:color w:val="000000" w:themeColor="text1"/>
        </w:rPr>
        <w:t>noting</w:t>
      </w:r>
      <w:r w:rsidR="00CC3A33">
        <w:rPr>
          <w:color w:val="000000" w:themeColor="text1"/>
        </w:rPr>
        <w:t xml:space="preserve"> the statute</w:t>
      </w:r>
      <w:r w:rsidRPr="00201C83" w:rsidR="002F293F">
        <w:rPr>
          <w:color w:val="000000" w:themeColor="text1"/>
        </w:rPr>
        <w:t xml:space="preserve"> </w:t>
      </w:r>
      <w:r w:rsidR="00D25CC5">
        <w:rPr>
          <w:color w:val="000000" w:themeColor="text1"/>
        </w:rPr>
        <w:t xml:space="preserve">must </w:t>
      </w:r>
      <w:r w:rsidRPr="00201C83" w:rsidR="002F293F">
        <w:rPr>
          <w:color w:val="000000" w:themeColor="text1"/>
        </w:rPr>
        <w:t xml:space="preserve">have only one meaning); </w:t>
      </w:r>
      <w:r w:rsidRPr="00475AB2" w:rsidR="002F293F">
        <w:rPr>
          <w:i/>
          <w:iCs/>
          <w:color w:val="000000" w:themeColor="text1"/>
        </w:rPr>
        <w:t>Esquivel-Quintana v.</w:t>
      </w:r>
      <w:r w:rsidRPr="00201C83" w:rsidR="002F293F">
        <w:rPr>
          <w:i/>
          <w:iCs/>
          <w:color w:val="000000" w:themeColor="text1"/>
        </w:rPr>
        <w:t xml:space="preserve"> Lynch</w:t>
      </w:r>
      <w:r w:rsidRPr="00201C83" w:rsidR="002F293F">
        <w:rPr>
          <w:color w:val="000000" w:themeColor="text1"/>
        </w:rPr>
        <w:t>, 810 F.3d 1019, 1028 (6th Cir. 2016) (Sutton, J.</w:t>
      </w:r>
      <w:r w:rsidR="00475AB2">
        <w:rPr>
          <w:color w:val="000000" w:themeColor="text1"/>
        </w:rPr>
        <w:t>,</w:t>
      </w:r>
      <w:r w:rsidRPr="00201C83" w:rsidR="002F293F">
        <w:rPr>
          <w:color w:val="000000" w:themeColor="text1"/>
        </w:rPr>
        <w:t xml:space="preserve"> dissenting in part and concurring in part) (“Time, time, and time again, the Court has confirmed that the one-interpretation rule means that the criminal-law construction of the statute (with the rule of lenity) prevails over the civil-law construction of it</w:t>
      </w:r>
      <w:r w:rsidR="005D2963">
        <w:rPr>
          <w:color w:val="000000" w:themeColor="text1"/>
        </w:rPr>
        <w:t>[</w:t>
      </w:r>
      <w:r w:rsidRPr="00201C83" w:rsidR="002F293F">
        <w:rPr>
          <w:color w:val="000000" w:themeColor="text1"/>
        </w:rPr>
        <w:t>.</w:t>
      </w:r>
      <w:r w:rsidR="005D2963">
        <w:rPr>
          <w:color w:val="000000" w:themeColor="text1"/>
        </w:rPr>
        <w:t>]</w:t>
      </w:r>
      <w:r w:rsidRPr="00201C83" w:rsidR="002F293F">
        <w:rPr>
          <w:color w:val="000000" w:themeColor="text1"/>
        </w:rPr>
        <w:t>”)</w:t>
      </w:r>
      <w:r w:rsidR="00475AB2">
        <w:rPr>
          <w:color w:val="000000" w:themeColor="text1"/>
        </w:rPr>
        <w:t xml:space="preserve">, </w:t>
      </w:r>
      <w:proofErr w:type="spellStart"/>
      <w:r w:rsidR="00475AB2">
        <w:rPr>
          <w:i/>
          <w:color w:val="000000" w:themeColor="text1"/>
        </w:rPr>
        <w:t>rev’d</w:t>
      </w:r>
      <w:proofErr w:type="spellEnd"/>
      <w:r w:rsidRPr="009E6F7E" w:rsidR="00475AB2">
        <w:rPr>
          <w:i/>
          <w:color w:val="000000" w:themeColor="text1"/>
        </w:rPr>
        <w:t xml:space="preserve"> on other grounds</w:t>
      </w:r>
      <w:r w:rsidRPr="00201C83" w:rsidR="00475AB2">
        <w:rPr>
          <w:color w:val="000000" w:themeColor="text1"/>
        </w:rPr>
        <w:t xml:space="preserve"> </w:t>
      </w:r>
      <w:r w:rsidRPr="00201C83" w:rsidR="00475AB2">
        <w:rPr>
          <w:i/>
          <w:iCs/>
          <w:color w:val="000000" w:themeColor="text1"/>
        </w:rPr>
        <w:t>sub nom</w:t>
      </w:r>
      <w:r w:rsidR="00475AB2">
        <w:rPr>
          <w:i/>
          <w:iCs/>
          <w:color w:val="000000" w:themeColor="text1"/>
        </w:rPr>
        <w:t>.</w:t>
      </w:r>
      <w:r w:rsidRPr="00201C83" w:rsidR="00475AB2">
        <w:rPr>
          <w:i/>
          <w:iCs/>
          <w:color w:val="000000" w:themeColor="text1"/>
        </w:rPr>
        <w:t xml:space="preserve"> Esquivel-Quintana v. Sessions</w:t>
      </w:r>
      <w:r w:rsidRPr="00201C83" w:rsidR="00475AB2">
        <w:rPr>
          <w:color w:val="000000" w:themeColor="text1"/>
        </w:rPr>
        <w:t>, 137 S. Ct. 1562 (2017)</w:t>
      </w:r>
      <w:r w:rsidRPr="00201C83" w:rsidR="002F293F">
        <w:rPr>
          <w:color w:val="000000" w:themeColor="text1"/>
        </w:rPr>
        <w:t>.</w:t>
      </w:r>
    </w:p>
    <w:p w:rsidRPr="00201C83" w:rsidR="00D272F5" w:rsidP="002F293F" w:rsidRDefault="00D272F5" w14:paraId="63FA307C" w14:textId="77777777">
      <w:pPr>
        <w:ind w:firstLine="720"/>
        <w:rPr>
          <w:color w:val="000000" w:themeColor="text1"/>
        </w:rPr>
      </w:pPr>
    </w:p>
    <w:p w:rsidRPr="00201C83" w:rsidR="00622492" w:rsidP="00201C83" w:rsidRDefault="00622492" w14:paraId="6908D4A4" w14:textId="1CE607E4">
      <w:pPr>
        <w:ind w:firstLine="720"/>
        <w:rPr>
          <w:color w:val="000000" w:themeColor="text1"/>
        </w:rPr>
      </w:pPr>
      <w:r w:rsidRPr="00201C83">
        <w:rPr>
          <w:color w:val="000000" w:themeColor="text1"/>
        </w:rPr>
        <w:t xml:space="preserve">Any ambiguities in the “conviction” definition </w:t>
      </w:r>
      <w:r w:rsidR="00475AB2">
        <w:rPr>
          <w:color w:val="000000" w:themeColor="text1"/>
        </w:rPr>
        <w:t>sh</w:t>
      </w:r>
      <w:r w:rsidRPr="00201C83">
        <w:rPr>
          <w:color w:val="000000" w:themeColor="text1"/>
        </w:rPr>
        <w:t xml:space="preserve">ould be resolved with the narrowest reading, which does not include those prior convictions that have been eliminated. </w:t>
      </w:r>
      <w:r w:rsidRPr="00201C83">
        <w:rPr>
          <w:i/>
          <w:iCs/>
          <w:color w:val="000000" w:themeColor="text1"/>
        </w:rPr>
        <w:t>Cf. Crandon v. United States</w:t>
      </w:r>
      <w:r w:rsidRPr="00201C83">
        <w:rPr>
          <w:color w:val="000000" w:themeColor="text1"/>
        </w:rPr>
        <w:t>, 494 U.S. 152, 158 (1990) (</w:t>
      </w:r>
      <w:r w:rsidR="00475AB2">
        <w:rPr>
          <w:color w:val="000000" w:themeColor="text1"/>
        </w:rPr>
        <w:t xml:space="preserve">describing </w:t>
      </w:r>
      <w:r w:rsidRPr="00201C83">
        <w:rPr>
          <w:color w:val="000000" w:themeColor="text1"/>
        </w:rPr>
        <w:t xml:space="preserve">rule of lenity </w:t>
      </w:r>
      <w:r w:rsidR="00475AB2">
        <w:rPr>
          <w:color w:val="000000" w:themeColor="text1"/>
        </w:rPr>
        <w:t>a</w:t>
      </w:r>
      <w:r w:rsidRPr="00201C83" w:rsidR="00475AB2">
        <w:rPr>
          <w:color w:val="000000" w:themeColor="text1"/>
        </w:rPr>
        <w:t xml:space="preserve">s </w:t>
      </w:r>
      <w:r w:rsidRPr="00201C83">
        <w:rPr>
          <w:color w:val="000000" w:themeColor="text1"/>
        </w:rPr>
        <w:t>a “time-honored” rule of statutory interpretation).</w:t>
      </w:r>
    </w:p>
    <w:p w:rsidRPr="00201C83" w:rsidR="001029A7" w:rsidP="00201C83" w:rsidRDefault="00622492" w14:paraId="3A29C801" w14:textId="584D7852">
      <w:pPr>
        <w:ind w:firstLine="720"/>
        <w:rPr>
          <w:color w:val="000000" w:themeColor="text1"/>
        </w:rPr>
      </w:pPr>
      <w:r w:rsidRPr="00201C83">
        <w:rPr>
          <w:color w:val="000000" w:themeColor="text1"/>
        </w:rPr>
        <w:t xml:space="preserve"> </w:t>
      </w:r>
    </w:p>
    <w:p w:rsidRPr="00201C83" w:rsidR="001029A7" w:rsidP="00E554C3" w:rsidRDefault="00C1525D" w14:paraId="43D1424F" w14:textId="14C59093">
      <w:pPr>
        <w:pStyle w:val="Heading3"/>
        <w:rPr>
          <w:bCs/>
        </w:rPr>
      </w:pPr>
      <w:r w:rsidRPr="00201C83">
        <w:rPr>
          <w:bCs/>
        </w:rPr>
        <w:t xml:space="preserve">Presumption </w:t>
      </w:r>
      <w:r w:rsidR="00BD7C8B">
        <w:rPr>
          <w:bCs/>
        </w:rPr>
        <w:t>A</w:t>
      </w:r>
      <w:r w:rsidRPr="00201C83">
        <w:rPr>
          <w:bCs/>
        </w:rPr>
        <w:t xml:space="preserve">gainst </w:t>
      </w:r>
      <w:r w:rsidR="00BD7C8B">
        <w:rPr>
          <w:bCs/>
        </w:rPr>
        <w:t>D</w:t>
      </w:r>
      <w:r w:rsidRPr="00201C83">
        <w:rPr>
          <w:bCs/>
        </w:rPr>
        <w:t>eportation</w:t>
      </w:r>
      <w:r w:rsidRPr="00201C83" w:rsidR="00622492">
        <w:rPr>
          <w:bCs/>
        </w:rPr>
        <w:t xml:space="preserve">: </w:t>
      </w:r>
      <w:r w:rsidR="00BD7C8B">
        <w:t>A</w:t>
      </w:r>
      <w:r w:rsidRPr="00201C83" w:rsidR="00622492">
        <w:t>ny ambiguities in the statutory “conviction” definition must be resolved through the narrowest reading</w:t>
      </w:r>
      <w:r w:rsidR="00436DC9">
        <w:t>, to exclude</w:t>
      </w:r>
      <w:r w:rsidRPr="00201C83" w:rsidR="00436DC9">
        <w:t xml:space="preserve"> vacated and expunged convictions.</w:t>
      </w:r>
      <w:r w:rsidRPr="00201C83" w:rsidR="001029A7">
        <w:rPr>
          <w:bCs/>
        </w:rPr>
        <w:t xml:space="preserve"> </w:t>
      </w:r>
    </w:p>
    <w:p w:rsidRPr="00201C83" w:rsidR="001029A7" w:rsidP="001029A7" w:rsidRDefault="001029A7" w14:paraId="2D5A618A" w14:textId="77777777">
      <w:pPr>
        <w:rPr>
          <w:b/>
          <w:bCs/>
          <w:color w:val="000000" w:themeColor="text1"/>
        </w:rPr>
      </w:pPr>
    </w:p>
    <w:p w:rsidR="00940662" w:rsidP="006F6CF5" w:rsidRDefault="00741BD9" w14:paraId="67293FFC" w14:textId="1022F3DE">
      <w:pPr>
        <w:ind w:firstLine="720"/>
        <w:rPr>
          <w:color w:val="000000" w:themeColor="text1"/>
        </w:rPr>
      </w:pPr>
      <w:r w:rsidRPr="00201C83">
        <w:rPr>
          <w:color w:val="000000" w:themeColor="text1"/>
        </w:rPr>
        <w:t xml:space="preserve">As with the criminal rule of lenity, ambiguities in the Act are resolved in favor of noncitizens under the presumption against deportation (sometimes referred to as the immigration rule of lenity). </w:t>
      </w:r>
      <w:r w:rsidRPr="00201C83" w:rsidR="00F21A03">
        <w:rPr>
          <w:color w:val="000000" w:themeColor="text1"/>
        </w:rPr>
        <w:t xml:space="preserve">The Supreme Court </w:t>
      </w:r>
      <w:r w:rsidRPr="00201C83">
        <w:rPr>
          <w:color w:val="000000" w:themeColor="text1"/>
        </w:rPr>
        <w:t>requires this principle be applied</w:t>
      </w:r>
      <w:r w:rsidRPr="00201C83" w:rsidR="00F21A03">
        <w:rPr>
          <w:color w:val="000000" w:themeColor="text1"/>
        </w:rPr>
        <w:t xml:space="preserve"> to resolve any remaining ambiguity in the text of the INA. </w:t>
      </w:r>
      <w:r w:rsidRPr="00201C83" w:rsidR="00F21A03">
        <w:rPr>
          <w:i/>
          <w:iCs/>
          <w:color w:val="000000" w:themeColor="text1"/>
        </w:rPr>
        <w:t>See, e.g.</w:t>
      </w:r>
      <w:r w:rsidRPr="00201C83" w:rsidR="00F21A03">
        <w:rPr>
          <w:color w:val="000000" w:themeColor="text1"/>
        </w:rPr>
        <w:t>,</w:t>
      </w:r>
      <w:r w:rsidRPr="00201C83" w:rsidR="00F21A03">
        <w:rPr>
          <w:i/>
          <w:iCs/>
          <w:color w:val="000000" w:themeColor="text1"/>
        </w:rPr>
        <w:t xml:space="preserve"> Cardoza-Fonseca</w:t>
      </w:r>
      <w:r w:rsidRPr="00201C83" w:rsidR="00F21A03">
        <w:rPr>
          <w:color w:val="000000" w:themeColor="text1"/>
        </w:rPr>
        <w:t>, 480 U.S.</w:t>
      </w:r>
      <w:r w:rsidR="00201C83">
        <w:rPr>
          <w:color w:val="000000" w:themeColor="text1"/>
        </w:rPr>
        <w:t xml:space="preserve"> </w:t>
      </w:r>
      <w:r w:rsidR="00A6698A">
        <w:rPr>
          <w:color w:val="000000" w:themeColor="text1"/>
        </w:rPr>
        <w:t>at</w:t>
      </w:r>
      <w:r w:rsidRPr="00201C83" w:rsidR="00F21A03">
        <w:rPr>
          <w:color w:val="000000" w:themeColor="text1"/>
        </w:rPr>
        <w:t xml:space="preserve"> 449</w:t>
      </w:r>
      <w:r w:rsidRPr="00201C83" w:rsidR="00F21A03">
        <w:rPr>
          <w:color w:val="000000" w:themeColor="text1"/>
        </w:rPr>
        <w:fldChar w:fldCharType="begin"/>
      </w:r>
      <w:r w:rsidRPr="00201C83" w:rsidR="00F21A03">
        <w:rPr>
          <w:color w:val="000000" w:themeColor="text1"/>
        </w:rPr>
        <w:instrText xml:space="preserve"> TA \l "</w:instrText>
      </w:r>
      <w:r w:rsidRPr="00201C83" w:rsidR="00F21A03">
        <w:rPr>
          <w:i/>
          <w:iCs/>
          <w:color w:val="000000" w:themeColor="text1"/>
        </w:rPr>
        <w:instrText>INS v. Cardoza-Fonseca</w:instrText>
      </w:r>
      <w:r w:rsidRPr="00201C83" w:rsidR="00F21A03">
        <w:rPr>
          <w:color w:val="000000" w:themeColor="text1"/>
        </w:rPr>
        <w:instrText xml:space="preserve">, 480 U.S. 421, 449 (1987)" \s "INS v. Cardoza-Fonseca, 480 U.S. 421, 449 (1987)" \c 1 </w:instrText>
      </w:r>
      <w:r w:rsidRPr="00201C83" w:rsidR="00F21A03">
        <w:rPr>
          <w:color w:val="000000" w:themeColor="text1"/>
        </w:rPr>
        <w:fldChar w:fldCharType="end"/>
      </w:r>
      <w:r w:rsidRPr="00201C83" w:rsidR="00F21A03">
        <w:rPr>
          <w:color w:val="000000" w:themeColor="text1"/>
        </w:rPr>
        <w:t xml:space="preserve"> (</w:t>
      </w:r>
      <w:r w:rsidR="005D4495">
        <w:rPr>
          <w:color w:val="000000" w:themeColor="text1"/>
        </w:rPr>
        <w:t xml:space="preserve">describing </w:t>
      </w:r>
      <w:r w:rsidRPr="00201C83" w:rsidR="00F21A03">
        <w:rPr>
          <w:color w:val="000000" w:themeColor="text1"/>
        </w:rPr>
        <w:t xml:space="preserve">this presumption as “the longstanding principle of construing any lingering ambiguities in deportation statutes in favor of the [noncitizen]”). </w:t>
      </w:r>
    </w:p>
    <w:p w:rsidR="00D272F5" w:rsidP="006F6CF5" w:rsidRDefault="00D272F5" w14:paraId="27F257ED" w14:textId="77777777">
      <w:pPr>
        <w:ind w:firstLine="720"/>
        <w:rPr>
          <w:color w:val="000000" w:themeColor="text1"/>
        </w:rPr>
      </w:pPr>
    </w:p>
    <w:p w:rsidRPr="00201C83" w:rsidR="00871FEB" w:rsidP="006F6CF5" w:rsidRDefault="00741BD9" w14:paraId="7DDCF3D5" w14:textId="31FA0164">
      <w:pPr>
        <w:ind w:firstLine="720"/>
        <w:rPr>
          <w:color w:val="000000" w:themeColor="text1"/>
        </w:rPr>
      </w:pPr>
      <w:r w:rsidRPr="00201C83">
        <w:rPr>
          <w:color w:val="000000" w:themeColor="text1"/>
        </w:rPr>
        <w:t xml:space="preserve">The Supreme </w:t>
      </w:r>
      <w:r w:rsidRPr="00201C83" w:rsidR="00F21A03">
        <w:rPr>
          <w:color w:val="000000" w:themeColor="text1"/>
        </w:rPr>
        <w:t xml:space="preserve">Court </w:t>
      </w:r>
      <w:r w:rsidRPr="00201C83" w:rsidR="00871FEB">
        <w:rPr>
          <w:color w:val="000000" w:themeColor="text1"/>
        </w:rPr>
        <w:t xml:space="preserve">and federal courts </w:t>
      </w:r>
      <w:r w:rsidRPr="00201C83" w:rsidR="00F21A03">
        <w:rPr>
          <w:color w:val="000000" w:themeColor="text1"/>
        </w:rPr>
        <w:t>appl</w:t>
      </w:r>
      <w:r w:rsidRPr="00201C83" w:rsidR="00871FEB">
        <w:rPr>
          <w:color w:val="000000" w:themeColor="text1"/>
        </w:rPr>
        <w:t>y</w:t>
      </w:r>
      <w:r w:rsidRPr="00201C83" w:rsidR="00F21A03">
        <w:rPr>
          <w:color w:val="000000" w:themeColor="text1"/>
        </w:rPr>
        <w:t xml:space="preserve"> this presumption (or immigration rule of lenity) when analyzing removability </w:t>
      </w:r>
      <w:r w:rsidRPr="00201C83">
        <w:rPr>
          <w:color w:val="000000" w:themeColor="text1"/>
        </w:rPr>
        <w:t>and</w:t>
      </w:r>
      <w:r w:rsidRPr="00201C83" w:rsidR="00F21A03">
        <w:rPr>
          <w:color w:val="000000" w:themeColor="text1"/>
        </w:rPr>
        <w:t xml:space="preserve"> bars to </w:t>
      </w:r>
      <w:r w:rsidR="005D4495">
        <w:rPr>
          <w:color w:val="000000" w:themeColor="text1"/>
        </w:rPr>
        <w:t xml:space="preserve">relief from </w:t>
      </w:r>
      <w:r w:rsidRPr="00201C83" w:rsidR="00F21A03">
        <w:rPr>
          <w:color w:val="000000" w:themeColor="text1"/>
        </w:rPr>
        <w:t xml:space="preserve">removal based on convictions. </w:t>
      </w:r>
      <w:r w:rsidRPr="00201C83" w:rsidR="00F21A03">
        <w:rPr>
          <w:i/>
          <w:iCs/>
          <w:color w:val="000000" w:themeColor="text1"/>
        </w:rPr>
        <w:t>See, e.g</w:t>
      </w:r>
      <w:r w:rsidRPr="00201C83" w:rsidR="00F21A03">
        <w:rPr>
          <w:iCs/>
          <w:color w:val="000000" w:themeColor="text1"/>
        </w:rPr>
        <w:t>.,</w:t>
      </w:r>
      <w:r w:rsidRPr="00201C83" w:rsidR="00F21A03">
        <w:rPr>
          <w:i/>
          <w:iCs/>
          <w:color w:val="000000" w:themeColor="text1"/>
        </w:rPr>
        <w:t xml:space="preserve"> </w:t>
      </w:r>
      <w:r w:rsidRPr="00201C83" w:rsidR="00F21A03">
        <w:rPr>
          <w:i/>
          <w:color w:val="000000" w:themeColor="text1"/>
        </w:rPr>
        <w:t>St. Cyr</w:t>
      </w:r>
      <w:r w:rsidRPr="00201C83" w:rsidR="00F21A03">
        <w:rPr>
          <w:color w:val="000000" w:themeColor="text1"/>
        </w:rPr>
        <w:t xml:space="preserve">, 533 U.S. at 320 (applying </w:t>
      </w:r>
      <w:r w:rsidRPr="00201C83" w:rsidR="00F21A03">
        <w:rPr>
          <w:color w:val="000000" w:themeColor="text1"/>
          <w:shd w:val="clear" w:color="auto" w:fill="FFFFFF"/>
        </w:rPr>
        <w:t xml:space="preserve">“the longstanding principle of construing any lingering ambiguities in deportation statutes in favor of the [noncitizen]” to interpretation of a </w:t>
      </w:r>
      <w:r w:rsidRPr="00201C83" w:rsidR="00F21A03">
        <w:rPr>
          <w:color w:val="000000" w:themeColor="text1"/>
        </w:rPr>
        <w:t xml:space="preserve">criminal conviction bar to relief eligibility under former INA section 212(c)); </w:t>
      </w:r>
      <w:r w:rsidRPr="00201C83" w:rsidR="00F21A03">
        <w:rPr>
          <w:i/>
          <w:iCs/>
          <w:color w:val="000000" w:themeColor="text1"/>
        </w:rPr>
        <w:t>Mendez v. Barr</w:t>
      </w:r>
      <w:r w:rsidRPr="00201C83" w:rsidR="00F21A03">
        <w:rPr>
          <w:color w:val="000000" w:themeColor="text1"/>
        </w:rPr>
        <w:t>, 960 F.3d 80, 87 (2d Cir. 2020)</w:t>
      </w:r>
      <w:r w:rsidRPr="00201C83" w:rsidR="00F21A03">
        <w:rPr>
          <w:color w:val="000000" w:themeColor="text1"/>
        </w:rPr>
        <w:fldChar w:fldCharType="begin"/>
      </w:r>
      <w:r w:rsidRPr="00201C83" w:rsidR="00F21A03">
        <w:rPr>
          <w:color w:val="000000" w:themeColor="text1"/>
        </w:rPr>
        <w:instrText xml:space="preserve"> TA \l "</w:instrText>
      </w:r>
      <w:r w:rsidRPr="00201C83" w:rsidR="00F21A03">
        <w:rPr>
          <w:i/>
          <w:iCs/>
          <w:color w:val="000000" w:themeColor="text1"/>
        </w:rPr>
        <w:instrText>Mendez v. Barr</w:instrText>
      </w:r>
      <w:r w:rsidRPr="00201C83" w:rsidR="00F21A03">
        <w:rPr>
          <w:color w:val="000000" w:themeColor="text1"/>
        </w:rPr>
        <w:instrText xml:space="preserve">, 960 F.3d 80, 87 (2d Cir. 2020)" \s "Mendez v. Barr, 960 F.3d 80, 87 (2d Cir. 2020)" \c 1 </w:instrText>
      </w:r>
      <w:r w:rsidRPr="00201C83" w:rsidR="00F21A03">
        <w:rPr>
          <w:color w:val="000000" w:themeColor="text1"/>
        </w:rPr>
        <w:fldChar w:fldCharType="end"/>
      </w:r>
      <w:r w:rsidRPr="00201C83" w:rsidR="00F21A03">
        <w:rPr>
          <w:color w:val="000000" w:themeColor="text1"/>
        </w:rPr>
        <w:t xml:space="preserve"> (applying the immigration rule of lenity in an analysis of what constitutes a </w:t>
      </w:r>
      <w:r w:rsidR="005D4495">
        <w:rPr>
          <w:color w:val="000000" w:themeColor="text1"/>
        </w:rPr>
        <w:t>“crime involving moral turpitude”</w:t>
      </w:r>
      <w:r w:rsidRPr="00201C83" w:rsidR="005D4495">
        <w:rPr>
          <w:color w:val="000000" w:themeColor="text1"/>
        </w:rPr>
        <w:t xml:space="preserve"> </w:t>
      </w:r>
      <w:r w:rsidRPr="00201C83" w:rsidR="00F21A03">
        <w:rPr>
          <w:color w:val="000000" w:themeColor="text1"/>
        </w:rPr>
        <w:t xml:space="preserve">under the INA); </w:t>
      </w:r>
      <w:r w:rsidRPr="00201C83" w:rsidR="00871FEB">
        <w:rPr>
          <w:rStyle w:val="CommentReference"/>
          <w:rFonts w:eastAsiaTheme="minorHAnsi"/>
          <w:i/>
          <w:iCs/>
          <w:color w:val="000000" w:themeColor="text1"/>
          <w:sz w:val="24"/>
          <w:szCs w:val="24"/>
        </w:rPr>
        <w:t>D</w:t>
      </w:r>
      <w:r w:rsidRPr="00201C83" w:rsidR="00871FEB">
        <w:rPr>
          <w:i/>
          <w:iCs/>
          <w:color w:val="000000" w:themeColor="text1"/>
        </w:rPr>
        <w:t>alton v. Ashcroft</w:t>
      </w:r>
      <w:r w:rsidRPr="00201C83" w:rsidR="00871FEB">
        <w:rPr>
          <w:color w:val="000000" w:themeColor="text1"/>
        </w:rPr>
        <w:t>, 257 F.3d 200, 208 (2d Cir. 2001) (“‘[D]</w:t>
      </w:r>
      <w:proofErr w:type="spellStart"/>
      <w:r w:rsidRPr="00201C83" w:rsidR="00871FEB">
        <w:rPr>
          <w:color w:val="000000" w:themeColor="text1"/>
        </w:rPr>
        <w:t>eportation</w:t>
      </w:r>
      <w:proofErr w:type="spellEnd"/>
      <w:r w:rsidRPr="00201C83" w:rsidR="00871FEB">
        <w:rPr>
          <w:color w:val="000000" w:themeColor="text1"/>
        </w:rPr>
        <w:t xml:space="preserve"> is a drastic measure and at times the equivalent of banishment or exile . . . </w:t>
      </w:r>
      <w:r w:rsidR="005D4495">
        <w:rPr>
          <w:color w:val="000000" w:themeColor="text1"/>
        </w:rPr>
        <w:t>. [W]</w:t>
      </w:r>
      <w:r w:rsidRPr="00201C83" w:rsidR="00871FEB">
        <w:rPr>
          <w:color w:val="000000" w:themeColor="text1"/>
        </w:rPr>
        <w:t>e will not assume that Congress meant to trench on [a noncitizen’s] freedom beyond that which is required by the narrowest of several possible meanings of the words used</w:t>
      </w:r>
      <w:r w:rsidRPr="00201C83" w:rsidR="006F6CF5">
        <w:rPr>
          <w:color w:val="000000" w:themeColor="text1"/>
        </w:rPr>
        <w:t>.’</w:t>
      </w:r>
      <w:r w:rsidRPr="00201C83" w:rsidR="00871FEB">
        <w:rPr>
          <w:color w:val="000000" w:themeColor="text1"/>
        </w:rPr>
        <w:t>” (</w:t>
      </w:r>
      <w:proofErr w:type="gramStart"/>
      <w:r w:rsidRPr="00201C83" w:rsidR="00871FEB">
        <w:rPr>
          <w:color w:val="000000" w:themeColor="text1"/>
        </w:rPr>
        <w:t>quoting</w:t>
      </w:r>
      <w:proofErr w:type="gramEnd"/>
      <w:r w:rsidRPr="00201C83" w:rsidR="00871FEB">
        <w:rPr>
          <w:color w:val="000000" w:themeColor="text1"/>
        </w:rPr>
        <w:t xml:space="preserve"> </w:t>
      </w:r>
      <w:r w:rsidRPr="00201C83" w:rsidR="00871FEB">
        <w:rPr>
          <w:i/>
          <w:iCs/>
          <w:color w:val="000000" w:themeColor="text1"/>
        </w:rPr>
        <w:t>Fong Haw Tan v. Phelan</w:t>
      </w:r>
      <w:r w:rsidRPr="00201C83" w:rsidR="00871FEB">
        <w:rPr>
          <w:color w:val="000000" w:themeColor="text1"/>
        </w:rPr>
        <w:t>, 333 U.S. 6, 10 (1948))</w:t>
      </w:r>
      <w:r w:rsidR="00D329CA">
        <w:rPr>
          <w:color w:val="000000" w:themeColor="text1"/>
        </w:rPr>
        <w:t>)</w:t>
      </w:r>
      <w:r w:rsidRPr="00201C83" w:rsidR="006F6CF5">
        <w:rPr>
          <w:color w:val="000000" w:themeColor="text1"/>
        </w:rPr>
        <w:t xml:space="preserve">; </w:t>
      </w:r>
      <w:r w:rsidRPr="00201C83" w:rsidR="00871FEB">
        <w:rPr>
          <w:i/>
          <w:iCs/>
          <w:color w:val="000000" w:themeColor="text1"/>
        </w:rPr>
        <w:t>Lennon v. INS</w:t>
      </w:r>
      <w:r w:rsidRPr="00201C83" w:rsidR="00871FEB">
        <w:rPr>
          <w:color w:val="000000" w:themeColor="text1"/>
        </w:rPr>
        <w:t>, 527 F.2d 187, 193 (2d Cir. 1975) (</w:t>
      </w:r>
      <w:r w:rsidR="005D4495">
        <w:rPr>
          <w:color w:val="000000" w:themeColor="text1"/>
        </w:rPr>
        <w:t>“</w:t>
      </w:r>
      <w:r w:rsidRPr="005D4495" w:rsidR="005D4495">
        <w:rPr>
          <w:color w:val="000000" w:themeColor="text1"/>
        </w:rPr>
        <w:t xml:space="preserve">It is settled doctrine that deportation statutes must be construed in favor of the </w:t>
      </w:r>
      <w:r w:rsidR="005D4495">
        <w:rPr>
          <w:color w:val="000000" w:themeColor="text1"/>
        </w:rPr>
        <w:t>[noncitizen].”</w:t>
      </w:r>
      <w:r w:rsidRPr="00201C83" w:rsidR="00871FEB">
        <w:rPr>
          <w:color w:val="000000" w:themeColor="text1"/>
        </w:rPr>
        <w:t>)</w:t>
      </w:r>
      <w:r w:rsidRPr="00201C83" w:rsidR="006F6CF5">
        <w:rPr>
          <w:color w:val="000000" w:themeColor="text1"/>
        </w:rPr>
        <w:t>.</w:t>
      </w:r>
    </w:p>
    <w:p w:rsidRPr="00201C83" w:rsidR="00741BD9" w:rsidP="00741BD9" w:rsidRDefault="00741BD9" w14:paraId="15091EB8" w14:textId="77777777">
      <w:pPr>
        <w:rPr>
          <w:color w:val="000000" w:themeColor="text1"/>
        </w:rPr>
      </w:pPr>
    </w:p>
    <w:p w:rsidRPr="00201C83" w:rsidR="005A2705" w:rsidP="00741BD9" w:rsidRDefault="005A2705" w14:paraId="25AB1443" w14:textId="66FD0DD9">
      <w:pPr>
        <w:jc w:val="center"/>
        <w:rPr>
          <w:b/>
          <w:bCs/>
          <w:color w:val="000000" w:themeColor="text1"/>
        </w:rPr>
      </w:pPr>
      <w:r w:rsidRPr="00201C83">
        <w:rPr>
          <w:b/>
          <w:bCs/>
          <w:color w:val="000000" w:themeColor="text1"/>
        </w:rPr>
        <w:t>CONCLUSION</w:t>
      </w:r>
    </w:p>
    <w:p w:rsidRPr="00201C83" w:rsidR="005A2705" w:rsidP="005A2705" w:rsidRDefault="005A2705" w14:paraId="09792DB6" w14:textId="726221DE">
      <w:pPr>
        <w:rPr>
          <w:b/>
          <w:bCs/>
          <w:color w:val="000000" w:themeColor="text1"/>
        </w:rPr>
      </w:pPr>
    </w:p>
    <w:p w:rsidR="005A2705" w:rsidP="00302BF8" w:rsidRDefault="00CB5B47" w14:paraId="39BA2BBF" w14:textId="2F4D9CE6">
      <w:pPr>
        <w:rPr>
          <w:color w:val="000000" w:themeColor="text1"/>
        </w:rPr>
      </w:pPr>
      <w:r w:rsidRPr="00201C83">
        <w:rPr>
          <w:color w:val="000000" w:themeColor="text1"/>
        </w:rPr>
        <w:tab/>
      </w:r>
      <w:r w:rsidRPr="00201C83" w:rsidR="00A9723D">
        <w:rPr>
          <w:color w:val="000000" w:themeColor="text1"/>
        </w:rPr>
        <w:t>A</w:t>
      </w:r>
      <w:r w:rsidRPr="00201C83" w:rsidR="005A2705">
        <w:rPr>
          <w:color w:val="000000" w:themeColor="text1"/>
        </w:rPr>
        <w:t xml:space="preserve"> prior conviction</w:t>
      </w:r>
      <w:r w:rsidRPr="00201C83" w:rsidR="00A9723D">
        <w:rPr>
          <w:color w:val="000000" w:themeColor="text1"/>
        </w:rPr>
        <w:t xml:space="preserve"> that has been vacated or expunged </w:t>
      </w:r>
      <w:r w:rsidRPr="00201C83" w:rsidR="005A2705">
        <w:rPr>
          <w:color w:val="000000" w:themeColor="text1"/>
        </w:rPr>
        <w:t xml:space="preserve">no longer fits within the INA’s definition of conviction and therefore </w:t>
      </w:r>
      <w:r w:rsidRPr="00201C83" w:rsidR="005F55FF">
        <w:rPr>
          <w:color w:val="000000" w:themeColor="text1"/>
        </w:rPr>
        <w:t xml:space="preserve">may not </w:t>
      </w:r>
      <w:r w:rsidRPr="00201C83" w:rsidR="005A2705">
        <w:rPr>
          <w:color w:val="000000" w:themeColor="text1"/>
        </w:rPr>
        <w:t xml:space="preserve">be regarded as a conviction for purposes of </w:t>
      </w:r>
      <w:r w:rsidRPr="00201C83" w:rsidR="005A2705">
        <w:rPr>
          <w:color w:val="000000" w:themeColor="text1"/>
        </w:rPr>
        <w:lastRenderedPageBreak/>
        <w:t>immigration la</w:t>
      </w:r>
      <w:r w:rsidRPr="00201C83" w:rsidR="006F6CF5">
        <w:rPr>
          <w:color w:val="000000" w:themeColor="text1"/>
        </w:rPr>
        <w:t xml:space="preserve">w. To the extent that </w:t>
      </w:r>
      <w:r w:rsidRPr="00201C83" w:rsidR="006F6CF5">
        <w:rPr>
          <w:i/>
          <w:iCs/>
          <w:color w:val="000000" w:themeColor="text1"/>
        </w:rPr>
        <w:t>Roldan</w:t>
      </w:r>
      <w:r w:rsidRPr="00201C83" w:rsidR="006F6CF5">
        <w:rPr>
          <w:color w:val="000000" w:themeColor="text1"/>
        </w:rPr>
        <w:t xml:space="preserve"> and </w:t>
      </w:r>
      <w:r w:rsidRPr="00201C83" w:rsidR="006F6CF5">
        <w:rPr>
          <w:i/>
          <w:iCs/>
          <w:color w:val="000000" w:themeColor="text1"/>
        </w:rPr>
        <w:t>Pickering</w:t>
      </w:r>
      <w:r w:rsidRPr="00201C83" w:rsidR="006F6CF5">
        <w:rPr>
          <w:color w:val="000000" w:themeColor="text1"/>
        </w:rPr>
        <w:t xml:space="preserve"> violate this principle, they must be overruled</w:t>
      </w:r>
      <w:r w:rsidR="00DA6275">
        <w:rPr>
          <w:color w:val="000000" w:themeColor="text1"/>
        </w:rPr>
        <w:t>,</w:t>
      </w:r>
      <w:r w:rsidRPr="00201C83" w:rsidR="006F6CF5">
        <w:rPr>
          <w:color w:val="000000" w:themeColor="text1"/>
        </w:rPr>
        <w:t xml:space="preserve"> and vacaturs and expungements </w:t>
      </w:r>
      <w:r w:rsidR="00DA6275">
        <w:rPr>
          <w:color w:val="000000" w:themeColor="text1"/>
        </w:rPr>
        <w:t xml:space="preserve">must be </w:t>
      </w:r>
      <w:r w:rsidRPr="00201C83" w:rsidR="006F6CF5">
        <w:rPr>
          <w:color w:val="000000" w:themeColor="text1"/>
        </w:rPr>
        <w:t>recognized by federal immigration law.</w:t>
      </w:r>
    </w:p>
    <w:p w:rsidR="00E54C4A" w:rsidP="00E54C4A" w:rsidRDefault="00E54C4A" w14:paraId="56131EEF" w14:textId="77777777">
      <w:pPr>
        <w:rPr>
          <w:color w:val="000000" w:themeColor="text1"/>
        </w:rPr>
      </w:pPr>
    </w:p>
    <w:p w:rsidR="00193C63" w:rsidP="00E54C4A" w:rsidRDefault="00193C63" w14:paraId="7317A263" w14:textId="77777777">
      <w:pPr>
        <w:rPr>
          <w:color w:val="000000" w:themeColor="text1"/>
        </w:rPr>
      </w:pPr>
    </w:p>
    <w:p w:rsidR="00193C63" w:rsidP="00E54C4A" w:rsidRDefault="00193C63" w14:paraId="44589094" w14:textId="77777777">
      <w:pPr>
        <w:rPr>
          <w:color w:val="000000" w:themeColor="text1"/>
        </w:rPr>
      </w:pPr>
    </w:p>
    <w:p w:rsidR="00E54C4A" w:rsidP="00E54C4A" w:rsidRDefault="00E54C4A" w14:paraId="532377BF" w14:textId="6CBDB1BD">
      <w:pPr>
        <w:rPr>
          <w:color w:val="000000" w:themeColor="text1"/>
        </w:rPr>
      </w:pPr>
      <w:r>
        <w:rPr>
          <w:color w:val="000000" w:themeColor="text1"/>
        </w:rPr>
        <w:t>Date: ______________</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Respectfully submitted,</w:t>
      </w:r>
    </w:p>
    <w:p w:rsidR="00E54C4A" w:rsidP="00E54C4A" w:rsidRDefault="00E54C4A" w14:paraId="12B5B07B" w14:textId="77777777">
      <w:pPr>
        <w:rPr>
          <w:color w:val="000000" w:themeColor="text1"/>
        </w:rPr>
      </w:pPr>
    </w:p>
    <w:p w:rsidRPr="00201C83" w:rsidR="00E54C4A" w:rsidP="00E54C4A" w:rsidRDefault="00E54C4A" w14:paraId="5F402D35" w14:textId="77777777">
      <w:pPr>
        <w:rPr>
          <w:i/>
          <w:iCs/>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___________________</w:t>
      </w:r>
      <w:proofErr w:type="gramStart"/>
      <w:r>
        <w:rPr>
          <w:color w:val="000000" w:themeColor="text1"/>
        </w:rPr>
        <w:t>_(</w:t>
      </w:r>
      <w:proofErr w:type="gramEnd"/>
      <w:r>
        <w:rPr>
          <w:color w:val="000000" w:themeColor="text1"/>
        </w:rPr>
        <w:t>Sign name)</w:t>
      </w:r>
    </w:p>
    <w:p w:rsidR="00E54C4A" w:rsidP="00E54C4A" w:rsidRDefault="00E54C4A" w14:paraId="3C1331E1" w14:textId="77777777">
      <w:pPr>
        <w:ind w:firstLine="720"/>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E54C4A" w:rsidP="00E54C4A" w:rsidRDefault="00E54C4A" w14:paraId="476D6698" w14:textId="77777777">
      <w:pPr>
        <w:ind w:firstLine="720"/>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___________________</w:t>
      </w:r>
      <w:proofErr w:type="gramStart"/>
      <w:r>
        <w:rPr>
          <w:color w:val="000000" w:themeColor="text1"/>
        </w:rPr>
        <w:t>_(</w:t>
      </w:r>
      <w:proofErr w:type="gramEnd"/>
      <w:r>
        <w:rPr>
          <w:color w:val="000000" w:themeColor="text1"/>
        </w:rPr>
        <w:t>Print name)</w:t>
      </w:r>
    </w:p>
    <w:p w:rsidR="00E54C4A" w:rsidP="00E54C4A" w:rsidRDefault="00E54C4A" w14:paraId="4B05B799" w14:textId="77777777">
      <w:pPr>
        <w:ind w:firstLine="720"/>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E54C4A" w:rsidP="00E54C4A" w:rsidRDefault="00E54C4A" w14:paraId="35615561" w14:textId="77777777">
      <w:pPr>
        <w:ind w:firstLine="720"/>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____________________(A#)</w:t>
      </w:r>
    </w:p>
    <w:p w:rsidR="00E54C4A" w:rsidP="00E54C4A" w:rsidRDefault="00E54C4A" w14:paraId="72153A2F" w14:textId="77777777">
      <w:pPr>
        <w:rPr>
          <w:color w:val="000000" w:themeColor="text1"/>
        </w:rPr>
      </w:pPr>
    </w:p>
    <w:p w:rsidR="00193C63" w:rsidRDefault="00193C63" w14:paraId="2439B892" w14:textId="77777777">
      <w:pPr>
        <w:spacing w:after="160" w:line="259" w:lineRule="auto"/>
        <w:rPr>
          <w:b/>
          <w:bCs/>
          <w:color w:val="000000" w:themeColor="text1"/>
        </w:rPr>
      </w:pPr>
      <w:r>
        <w:rPr>
          <w:b/>
          <w:bCs/>
          <w:color w:val="000000" w:themeColor="text1"/>
        </w:rPr>
        <w:br w:type="page"/>
      </w:r>
    </w:p>
    <w:p w:rsidR="00E54C4A" w:rsidP="00E54C4A" w:rsidRDefault="00E54C4A" w14:paraId="33661602" w14:textId="14AF4D6B">
      <w:pPr>
        <w:jc w:val="center"/>
        <w:rPr>
          <w:b/>
          <w:bCs/>
          <w:color w:val="000000" w:themeColor="text1"/>
        </w:rPr>
      </w:pPr>
      <w:r>
        <w:rPr>
          <w:b/>
          <w:bCs/>
          <w:color w:val="000000" w:themeColor="text1"/>
        </w:rPr>
        <w:lastRenderedPageBreak/>
        <w:t>CERTIFICATE OF SERVICE</w:t>
      </w:r>
    </w:p>
    <w:p w:rsidR="00E54C4A" w:rsidP="00E54C4A" w:rsidRDefault="00E54C4A" w14:paraId="6E672B28" w14:textId="77777777">
      <w:pPr>
        <w:rPr>
          <w:color w:val="000000" w:themeColor="text1"/>
        </w:rPr>
      </w:pPr>
    </w:p>
    <w:p w:rsidR="00E54C4A" w:rsidP="00E54C4A" w:rsidRDefault="00E54C4A" w14:paraId="06EF94F9" w14:textId="77777777">
      <w:pPr>
        <w:rPr>
          <w:color w:val="000000" w:themeColor="text1"/>
        </w:rPr>
      </w:pPr>
      <w:r>
        <w:rPr>
          <w:color w:val="000000" w:themeColor="text1"/>
        </w:rPr>
        <w:t>On _____________(Date) I sent the foregoing memorandum of law to U.S. Immigration and Customs Enforcement, Office of the Chief Counsel, at the following address:</w:t>
      </w:r>
    </w:p>
    <w:p w:rsidR="00E54C4A" w:rsidP="00E54C4A" w:rsidRDefault="00E54C4A" w14:paraId="3032B640" w14:textId="77777777">
      <w:pPr>
        <w:rPr>
          <w:color w:val="000000" w:themeColor="text1"/>
        </w:rPr>
      </w:pPr>
    </w:p>
    <w:p w:rsidR="00E54C4A" w:rsidP="00E54C4A" w:rsidRDefault="00E54C4A" w14:paraId="24868C05" w14:textId="77777777">
      <w:pPr>
        <w:rPr>
          <w:color w:val="000000" w:themeColor="text1"/>
        </w:rPr>
      </w:pPr>
      <w:r>
        <w:rPr>
          <w:color w:val="000000" w:themeColor="text1"/>
        </w:rPr>
        <w:t>______________________</w:t>
      </w:r>
    </w:p>
    <w:p w:rsidR="00E54C4A" w:rsidP="00E54C4A" w:rsidRDefault="00E54C4A" w14:paraId="58B65C54" w14:textId="77777777">
      <w:pPr>
        <w:rPr>
          <w:color w:val="000000" w:themeColor="text1"/>
        </w:rPr>
      </w:pPr>
    </w:p>
    <w:p w:rsidR="00E54C4A" w:rsidP="00E54C4A" w:rsidRDefault="00E54C4A" w14:paraId="6700EB6A" w14:textId="77777777">
      <w:pPr>
        <w:rPr>
          <w:color w:val="000000" w:themeColor="text1"/>
        </w:rPr>
      </w:pPr>
      <w:r>
        <w:rPr>
          <w:color w:val="000000" w:themeColor="text1"/>
        </w:rPr>
        <w:t>______________________</w:t>
      </w:r>
    </w:p>
    <w:p w:rsidR="00E54C4A" w:rsidP="00E54C4A" w:rsidRDefault="00E54C4A" w14:paraId="295426BD" w14:textId="77777777">
      <w:pPr>
        <w:rPr>
          <w:color w:val="000000" w:themeColor="text1"/>
        </w:rPr>
      </w:pPr>
    </w:p>
    <w:p w:rsidR="00E54C4A" w:rsidP="00E54C4A" w:rsidRDefault="00E54C4A" w14:paraId="1C5EE359" w14:textId="77777777">
      <w:pPr>
        <w:rPr>
          <w:color w:val="000000" w:themeColor="text1"/>
        </w:rPr>
      </w:pPr>
      <w:r>
        <w:rPr>
          <w:color w:val="000000" w:themeColor="text1"/>
        </w:rPr>
        <w:t>______________________</w:t>
      </w:r>
    </w:p>
    <w:p w:rsidR="00E54C4A" w:rsidP="00E54C4A" w:rsidRDefault="00E54C4A" w14:paraId="7F449A21" w14:textId="77777777">
      <w:pPr>
        <w:rPr>
          <w:color w:val="000000" w:themeColor="text1"/>
        </w:rPr>
      </w:pPr>
    </w:p>
    <w:p w:rsidR="00E54C4A" w:rsidP="00E54C4A" w:rsidRDefault="00E54C4A" w14:paraId="05D9EB2A" w14:textId="77777777">
      <w:pPr>
        <w:rPr>
          <w:color w:val="000000" w:themeColor="text1"/>
        </w:rPr>
      </w:pPr>
      <w:r>
        <w:rPr>
          <w:color w:val="000000" w:themeColor="text1"/>
        </w:rPr>
        <w:t>______________________</w:t>
      </w:r>
    </w:p>
    <w:p w:rsidR="00E54C4A" w:rsidP="00E54C4A" w:rsidRDefault="00E54C4A" w14:paraId="141F5173" w14:textId="77777777">
      <w:pPr>
        <w:rPr>
          <w:color w:val="000000" w:themeColor="text1"/>
        </w:rPr>
      </w:pPr>
    </w:p>
    <w:p w:rsidR="00E54C4A" w:rsidP="00E54C4A" w:rsidRDefault="00E54C4A" w14:paraId="10845C2E" w14:textId="77777777">
      <w:pPr>
        <w:rPr>
          <w:color w:val="000000" w:themeColor="text1"/>
        </w:rPr>
      </w:pPr>
      <w:r>
        <w:rPr>
          <w:color w:val="000000" w:themeColor="text1"/>
        </w:rPr>
        <w:t>______________________</w:t>
      </w:r>
    </w:p>
    <w:p w:rsidRPr="00C76B76" w:rsidR="00E54C4A" w:rsidP="00E54C4A" w:rsidRDefault="00E54C4A" w14:paraId="40D11B6A" w14:textId="77777777">
      <w:pPr>
        <w:rPr>
          <w:color w:val="000000" w:themeColor="text1"/>
        </w:rPr>
      </w:pPr>
    </w:p>
    <w:p w:rsidR="00E54C4A" w:rsidP="00E54C4A" w:rsidRDefault="00E54C4A" w14:paraId="231C80AB" w14:textId="77777777">
      <w:pPr>
        <w:rPr>
          <w:color w:val="000000" w:themeColor="text1"/>
        </w:rPr>
      </w:pPr>
    </w:p>
    <w:p w:rsidRPr="00201C83" w:rsidR="00E54C4A" w:rsidP="00E54C4A" w:rsidRDefault="00E54C4A" w14:paraId="1780EF66" w14:textId="77777777">
      <w:pPr>
        <w:rPr>
          <w:i/>
          <w:iCs/>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___________________</w:t>
      </w:r>
      <w:proofErr w:type="gramStart"/>
      <w:r>
        <w:rPr>
          <w:color w:val="000000" w:themeColor="text1"/>
        </w:rPr>
        <w:t>_(</w:t>
      </w:r>
      <w:proofErr w:type="gramEnd"/>
      <w:r>
        <w:rPr>
          <w:color w:val="000000" w:themeColor="text1"/>
        </w:rPr>
        <w:t>Sign name)</w:t>
      </w:r>
    </w:p>
    <w:p w:rsidR="00E54C4A" w:rsidP="00E54C4A" w:rsidRDefault="00E54C4A" w14:paraId="486CD646" w14:textId="77777777">
      <w:pPr>
        <w:ind w:firstLine="720"/>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E54C4A" w:rsidP="00E54C4A" w:rsidRDefault="00E54C4A" w14:paraId="12651A71" w14:textId="77777777">
      <w:pPr>
        <w:ind w:firstLine="720"/>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___________________</w:t>
      </w:r>
      <w:proofErr w:type="gramStart"/>
      <w:r>
        <w:rPr>
          <w:color w:val="000000" w:themeColor="text1"/>
        </w:rPr>
        <w:t>_(</w:t>
      </w:r>
      <w:proofErr w:type="gramEnd"/>
      <w:r>
        <w:rPr>
          <w:color w:val="000000" w:themeColor="text1"/>
        </w:rPr>
        <w:t>Print name)</w:t>
      </w:r>
    </w:p>
    <w:p w:rsidR="00E54C4A" w:rsidP="00E54C4A" w:rsidRDefault="00E54C4A" w14:paraId="4BB420D0" w14:textId="77777777">
      <w:pPr>
        <w:ind w:firstLine="720"/>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Pr="00201C83" w:rsidR="00E54C4A" w:rsidP="00E54C4A" w:rsidRDefault="00E54C4A" w14:paraId="4F88EE1C" w14:textId="4B43C3E4">
      <w:pPr>
        <w:rPr>
          <w:i/>
          <w:iCs/>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Pr="00940662" w:rsidR="00925E77" w:rsidP="004838D7" w:rsidRDefault="00925E77" w14:paraId="0CECD83E" w14:textId="6102EAFD">
      <w:pPr>
        <w:ind w:firstLine="720"/>
        <w:rPr>
          <w:color w:val="000000" w:themeColor="text1"/>
        </w:rPr>
      </w:pPr>
    </w:p>
    <w:p w:rsidRPr="00940662" w:rsidR="00703B12" w:rsidP="004838D7" w:rsidRDefault="00703B12" w14:paraId="5D564686" w14:textId="77777777">
      <w:pPr>
        <w:rPr>
          <w:color w:val="000000" w:themeColor="text1"/>
        </w:rPr>
      </w:pPr>
    </w:p>
    <w:sectPr w:rsidRPr="00940662" w:rsidR="00703B12" w:rsidSect="00E54C4A">
      <w:headerReference w:type="default" r:id="rId11"/>
      <w:footerReference w:type="even"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1D65" w:rsidRDefault="00A81D65" w14:paraId="5C4DCB29" w14:textId="77777777">
      <w:r>
        <w:separator/>
      </w:r>
    </w:p>
  </w:endnote>
  <w:endnote w:type="continuationSeparator" w:id="0">
    <w:p w:rsidR="00A81D65" w:rsidRDefault="00A81D65" w14:paraId="23AD595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swald">
    <w:altName w:val="Arial Narrow"/>
    <w:panose1 w:val="00000500000000000000"/>
    <w:charset w:val="00"/>
    <w:family w:val="auto"/>
    <w:pitch w:val="variable"/>
    <w:sig w:usb0="2000020F"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BF0" w:rsidP="008E23FE" w:rsidRDefault="00DC3BF0" w14:paraId="11DCF590" w14:textId="7DD43294">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DC3BF0" w:rsidP="00703B12" w:rsidRDefault="00DC3BF0" w14:paraId="1CEED7E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67863042"/>
      <w:docPartObj>
        <w:docPartGallery w:val="Page Numbers (Bottom of Page)"/>
        <w:docPartUnique/>
      </w:docPartObj>
    </w:sdtPr>
    <w:sdtEndPr>
      <w:rPr>
        <w:noProof/>
      </w:rPr>
    </w:sdtEndPr>
    <w:sdtContent>
      <w:p w:rsidRPr="00E554C3" w:rsidR="009C377F" w:rsidRDefault="009C377F" w14:paraId="5D587749" w14:textId="39B83D6C">
        <w:pPr>
          <w:pStyle w:val="Footer"/>
          <w:jc w:val="center"/>
          <w:rPr>
            <w:rFonts w:ascii="Times New Roman" w:hAnsi="Times New Roman" w:cs="Times New Roman"/>
          </w:rPr>
        </w:pPr>
        <w:r w:rsidRPr="009C377F">
          <w:rPr>
            <w:rFonts w:ascii="Times New Roman" w:hAnsi="Times New Roman" w:cs="Times New Roman"/>
          </w:rPr>
          <w:fldChar w:fldCharType="begin"/>
        </w:r>
        <w:r w:rsidRPr="009C377F">
          <w:rPr>
            <w:rFonts w:ascii="Times New Roman" w:hAnsi="Times New Roman" w:cs="Times New Roman"/>
            <w:rPrChange w:author="Seiko Shastri" w:date="2022-05-16T10:38:00Z" w:id="7">
              <w:rPr/>
            </w:rPrChange>
          </w:rPr>
          <w:instrText xml:space="preserve"> PAGE   \* MERGEFORMAT </w:instrText>
        </w:r>
        <w:r w:rsidRPr="009C377F">
          <w:rPr>
            <w:rFonts w:ascii="Times New Roman" w:hAnsi="Times New Roman" w:cs="Times New Roman"/>
          </w:rPr>
          <w:fldChar w:fldCharType="separate"/>
        </w:r>
        <w:r w:rsidRPr="009C377F">
          <w:rPr>
            <w:rFonts w:ascii="Times New Roman" w:hAnsi="Times New Roman" w:cs="Times New Roman"/>
            <w:noProof/>
            <w:rPrChange w:author="Seiko Shastri" w:date="2022-05-16T10:38:00Z" w:id="8">
              <w:rPr>
                <w:noProof/>
              </w:rPr>
            </w:rPrChange>
          </w:rPr>
          <w:t>2</w:t>
        </w:r>
        <w:r w:rsidRPr="009C377F">
          <w:rPr>
            <w:rFonts w:ascii="Times New Roman" w:hAnsi="Times New Roman" w:cs="Times New Roman"/>
            <w:noProof/>
          </w:rPr>
          <w:fldChar w:fldCharType="end"/>
        </w:r>
      </w:p>
    </w:sdtContent>
  </w:sdt>
  <w:p w:rsidR="00DC3BF0" w:rsidP="00703B12" w:rsidRDefault="00DC3BF0" w14:paraId="2FB5F3F6"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1D65" w:rsidRDefault="00A81D65" w14:paraId="5C94A4E6" w14:textId="77777777">
      <w:r>
        <w:separator/>
      </w:r>
    </w:p>
  </w:footnote>
  <w:footnote w:type="continuationSeparator" w:id="0">
    <w:p w:rsidR="00A81D65" w:rsidRDefault="00A81D65" w14:paraId="4CB07321" w14:textId="77777777">
      <w:r>
        <w:continuationSeparator/>
      </w:r>
    </w:p>
  </w:footnote>
  <w:footnote w:id="1">
    <w:p w:rsidRPr="00F70518" w:rsidR="00A65023" w:rsidP="00A65023" w:rsidRDefault="00A65023" w14:paraId="7C27799D" w14:textId="1B30F9FA">
      <w:pPr>
        <w:pStyle w:val="FootnoteText"/>
        <w:rPr>
          <w:rFonts w:ascii="Times New Roman" w:hAnsi="Times New Roman" w:cs="Times New Roman"/>
          <w:sz w:val="24"/>
          <w:szCs w:val="24"/>
        </w:rPr>
      </w:pPr>
      <w:r w:rsidRPr="00F70518">
        <w:rPr>
          <w:rStyle w:val="FootnoteReference"/>
          <w:rFonts w:ascii="Times New Roman" w:hAnsi="Times New Roman" w:cs="Times New Roman"/>
          <w:sz w:val="24"/>
          <w:szCs w:val="24"/>
        </w:rPr>
        <w:footnoteRef/>
      </w:r>
      <w:r w:rsidRPr="00F70518">
        <w:rPr>
          <w:rFonts w:ascii="Times New Roman" w:hAnsi="Times New Roman" w:cs="Times New Roman"/>
          <w:sz w:val="24"/>
          <w:szCs w:val="24"/>
        </w:rPr>
        <w:t xml:space="preserve"> Black’s defined “formal” to mean, </w:t>
      </w:r>
      <w:r w:rsidRPr="00F70518">
        <w:rPr>
          <w:rFonts w:ascii="Times New Roman" w:hAnsi="Times New Roman" w:cs="Times New Roman"/>
          <w:bCs/>
          <w:sz w:val="24"/>
          <w:szCs w:val="24"/>
        </w:rPr>
        <w:t>“Relating to matters of form</w:t>
      </w:r>
      <w:r w:rsidRPr="00F70518">
        <w:rPr>
          <w:rFonts w:ascii="Times New Roman" w:hAnsi="Times New Roman" w:cs="Times New Roman"/>
          <w:bCs/>
          <w:color w:val="000000" w:themeColor="text1"/>
          <w:sz w:val="24"/>
          <w:szCs w:val="24"/>
        </w:rPr>
        <w:t xml:space="preserve">,” </w:t>
      </w:r>
      <w:r w:rsidRPr="00F70518">
        <w:rPr>
          <w:rFonts w:ascii="Times New Roman" w:hAnsi="Times New Roman" w:cs="Times New Roman"/>
          <w:bCs/>
          <w:i/>
          <w:iCs/>
          <w:color w:val="000000" w:themeColor="text1"/>
          <w:sz w:val="24"/>
          <w:szCs w:val="24"/>
        </w:rPr>
        <w:t>id.</w:t>
      </w:r>
      <w:r w:rsidRPr="00F70518">
        <w:rPr>
          <w:rFonts w:ascii="Times New Roman" w:hAnsi="Times New Roman" w:cs="Times New Roman"/>
          <w:bCs/>
          <w:color w:val="000000" w:themeColor="text1"/>
          <w:sz w:val="24"/>
          <w:szCs w:val="24"/>
        </w:rPr>
        <w:t xml:space="preserve"> at</w:t>
      </w:r>
      <w:r w:rsidR="00CB7A67">
        <w:rPr>
          <w:rFonts w:ascii="Times New Roman" w:hAnsi="Times New Roman" w:cs="Times New Roman"/>
          <w:bCs/>
          <w:color w:val="000000" w:themeColor="text1"/>
          <w:sz w:val="24"/>
          <w:szCs w:val="24"/>
        </w:rPr>
        <w:t xml:space="preserve"> 652</w:t>
      </w:r>
      <w:r w:rsidRPr="00F70518">
        <w:rPr>
          <w:rFonts w:ascii="Times New Roman" w:hAnsi="Times New Roman" w:cs="Times New Roman"/>
          <w:bCs/>
          <w:color w:val="000000" w:themeColor="text1"/>
          <w:sz w:val="24"/>
          <w:szCs w:val="24"/>
        </w:rPr>
        <w:t>, and “guilt” to mean, “</w:t>
      </w:r>
      <w:r w:rsidRPr="00F70518">
        <w:rPr>
          <w:rFonts w:ascii="Times New Roman" w:hAnsi="Times New Roman" w:cs="Times New Roman"/>
          <w:bCs/>
          <w:sz w:val="24"/>
          <w:szCs w:val="24"/>
        </w:rPr>
        <w:t xml:space="preserve">In criminal law, that quality which imparts criminality to a motive or </w:t>
      </w:r>
      <w:proofErr w:type="gramStart"/>
      <w:r w:rsidRPr="00F70518">
        <w:rPr>
          <w:rFonts w:ascii="Times New Roman" w:hAnsi="Times New Roman" w:cs="Times New Roman"/>
          <w:bCs/>
          <w:sz w:val="24"/>
          <w:szCs w:val="24"/>
        </w:rPr>
        <w:t>act, and</w:t>
      </w:r>
      <w:proofErr w:type="gramEnd"/>
      <w:r w:rsidRPr="00F70518">
        <w:rPr>
          <w:rFonts w:ascii="Times New Roman" w:hAnsi="Times New Roman" w:cs="Times New Roman"/>
          <w:bCs/>
          <w:sz w:val="24"/>
          <w:szCs w:val="24"/>
        </w:rPr>
        <w:t xml:space="preserve"> renders the person amenable to punishment by the law.</w:t>
      </w:r>
      <w:r w:rsidRPr="00F70518">
        <w:rPr>
          <w:rFonts w:ascii="Times New Roman" w:hAnsi="Times New Roman" w:cs="Times New Roman"/>
          <w:bCs/>
          <w:color w:val="000000" w:themeColor="text1"/>
          <w:sz w:val="24"/>
          <w:szCs w:val="24"/>
        </w:rPr>
        <w:t xml:space="preserve">” </w:t>
      </w:r>
      <w:r w:rsidRPr="00F70518">
        <w:rPr>
          <w:rFonts w:ascii="Times New Roman" w:hAnsi="Times New Roman" w:cs="Times New Roman"/>
          <w:bCs/>
          <w:i/>
          <w:iCs/>
          <w:color w:val="000000" w:themeColor="text1"/>
          <w:sz w:val="24"/>
          <w:szCs w:val="24"/>
        </w:rPr>
        <w:t>Id.</w:t>
      </w:r>
      <w:r w:rsidRPr="00F70518">
        <w:rPr>
          <w:rFonts w:ascii="Times New Roman" w:hAnsi="Times New Roman" w:cs="Times New Roman"/>
          <w:bCs/>
          <w:color w:val="000000" w:themeColor="text1"/>
          <w:sz w:val="24"/>
          <w:szCs w:val="24"/>
        </w:rPr>
        <w:t xml:space="preserve"> at</w:t>
      </w:r>
      <w:r w:rsidR="00CB7A67">
        <w:rPr>
          <w:rFonts w:ascii="Times New Roman" w:hAnsi="Times New Roman" w:cs="Times New Roman"/>
          <w:bCs/>
          <w:color w:val="000000" w:themeColor="text1"/>
          <w:sz w:val="24"/>
          <w:szCs w:val="24"/>
        </w:rPr>
        <w:t xml:space="preserve"> 708</w:t>
      </w:r>
      <w:r w:rsidRPr="00F70518">
        <w:rPr>
          <w:rFonts w:ascii="Times New Roman" w:hAnsi="Times New Roman" w:cs="Times New Roman"/>
          <w:bCs/>
          <w:color w:val="000000" w:themeColor="text1"/>
          <w:sz w:val="24"/>
          <w:szCs w:val="24"/>
        </w:rPr>
        <w:t>.</w:t>
      </w:r>
      <w:r w:rsidRPr="00F70518">
        <w:rPr>
          <w:rStyle w:val="CommentReference"/>
          <w:rFonts w:ascii="Times New Roman" w:hAnsi="Times New Roman" w:cs="Times New Roman"/>
          <w:sz w:val="24"/>
          <w:szCs w:val="24"/>
        </w:rPr>
        <w:t xml:space="preserve"> </w:t>
      </w:r>
    </w:p>
  </w:footnote>
  <w:footnote w:id="2">
    <w:p w:rsidRPr="003F2D98" w:rsidR="00DC3BF0" w:rsidRDefault="00DC3BF0" w14:paraId="15234C1E" w14:textId="044B831C">
      <w:pPr>
        <w:pStyle w:val="FootnoteText"/>
        <w:rPr>
          <w:rFonts w:ascii="Times New Roman" w:hAnsi="Times New Roman" w:cs="Times New Roman"/>
          <w:sz w:val="24"/>
          <w:szCs w:val="24"/>
        </w:rPr>
      </w:pPr>
      <w:r w:rsidRPr="003F2D98">
        <w:rPr>
          <w:rStyle w:val="FootnoteReference"/>
          <w:rFonts w:ascii="Times New Roman" w:hAnsi="Times New Roman" w:cs="Times New Roman"/>
          <w:sz w:val="24"/>
          <w:szCs w:val="24"/>
        </w:rPr>
        <w:footnoteRef/>
      </w:r>
      <w:r w:rsidRPr="003F2D98">
        <w:rPr>
          <w:rFonts w:ascii="Times New Roman" w:hAnsi="Times New Roman" w:cs="Times New Roman"/>
          <w:sz w:val="24"/>
          <w:szCs w:val="24"/>
        </w:rPr>
        <w:t xml:space="preserve"> The full Conference Report </w:t>
      </w:r>
      <w:r w:rsidRPr="003F2D98" w:rsidR="0044116A">
        <w:rPr>
          <w:rFonts w:ascii="Times New Roman" w:hAnsi="Times New Roman" w:cs="Times New Roman"/>
          <w:sz w:val="24"/>
          <w:szCs w:val="24"/>
        </w:rPr>
        <w:t>is attached as</w:t>
      </w:r>
      <w:r w:rsidRPr="003F2D98">
        <w:rPr>
          <w:rFonts w:ascii="Times New Roman" w:hAnsi="Times New Roman" w:cs="Times New Roman"/>
          <w:sz w:val="24"/>
          <w:szCs w:val="24"/>
        </w:rPr>
        <w:t xml:space="preserve"> Appendix </w:t>
      </w:r>
      <w:r w:rsidRPr="003F2D98" w:rsidR="0044116A">
        <w:rPr>
          <w:rFonts w:ascii="Times New Roman" w:hAnsi="Times New Roman" w:cs="Times New Roman"/>
          <w:sz w:val="24"/>
          <w:szCs w:val="24"/>
        </w:rPr>
        <w:t>B.</w:t>
      </w:r>
    </w:p>
  </w:footnote>
  <w:footnote w:id="3">
    <w:p w:rsidRPr="003F2D98" w:rsidR="00245BB9" w:rsidRDefault="00245BB9" w14:paraId="205EB286" w14:textId="05F0BFF0">
      <w:pPr>
        <w:pStyle w:val="FootnoteText"/>
        <w:rPr>
          <w:rFonts w:ascii="Times New Roman" w:hAnsi="Times New Roman" w:cs="Times New Roman"/>
          <w:sz w:val="24"/>
          <w:szCs w:val="24"/>
        </w:rPr>
      </w:pPr>
      <w:r w:rsidRPr="003F2D98">
        <w:rPr>
          <w:rStyle w:val="FootnoteReference"/>
          <w:rFonts w:ascii="Times New Roman" w:hAnsi="Times New Roman" w:cs="Times New Roman"/>
          <w:sz w:val="24"/>
          <w:szCs w:val="24"/>
        </w:rPr>
        <w:footnoteRef/>
      </w:r>
      <w:r w:rsidRPr="003F2D98">
        <w:rPr>
          <w:rFonts w:ascii="Times New Roman" w:hAnsi="Times New Roman" w:cs="Times New Roman"/>
          <w:sz w:val="24"/>
          <w:szCs w:val="24"/>
        </w:rPr>
        <w:t xml:space="preserve"> </w:t>
      </w:r>
      <w:r w:rsidRPr="003F2D98" w:rsidR="00CF7F9F">
        <w:rPr>
          <w:rFonts w:ascii="Times New Roman" w:hAnsi="Times New Roman" w:cs="Times New Roman"/>
          <w:sz w:val="24"/>
          <w:szCs w:val="24"/>
        </w:rPr>
        <w:t xml:space="preserve">The </w:t>
      </w:r>
      <w:r w:rsidRPr="003F2D98">
        <w:rPr>
          <w:rFonts w:ascii="Times New Roman" w:hAnsi="Times New Roman" w:cs="Times New Roman"/>
          <w:sz w:val="24"/>
          <w:szCs w:val="24"/>
        </w:rPr>
        <w:t xml:space="preserve">Supreme Court </w:t>
      </w:r>
      <w:r w:rsidRPr="003F2D98" w:rsidR="00207E26">
        <w:rPr>
          <w:rFonts w:ascii="Times New Roman" w:hAnsi="Times New Roman" w:cs="Times New Roman"/>
          <w:sz w:val="24"/>
          <w:szCs w:val="24"/>
        </w:rPr>
        <w:t>has applied</w:t>
      </w:r>
      <w:r w:rsidRPr="003F2D98" w:rsidR="00B2083F">
        <w:rPr>
          <w:rFonts w:ascii="Times New Roman" w:hAnsi="Times New Roman" w:cs="Times New Roman"/>
          <w:sz w:val="24"/>
          <w:szCs w:val="24"/>
        </w:rPr>
        <w:t xml:space="preserve"> traditional</w:t>
      </w:r>
      <w:r w:rsidRPr="003F2D98">
        <w:rPr>
          <w:rFonts w:ascii="Times New Roman" w:hAnsi="Times New Roman" w:cs="Times New Roman"/>
          <w:sz w:val="24"/>
          <w:szCs w:val="24"/>
        </w:rPr>
        <w:t xml:space="preserve"> tools </w:t>
      </w:r>
      <w:r w:rsidRPr="003F2D98" w:rsidR="00B2083F">
        <w:rPr>
          <w:rFonts w:ascii="Times New Roman" w:hAnsi="Times New Roman" w:cs="Times New Roman"/>
          <w:sz w:val="24"/>
          <w:szCs w:val="24"/>
        </w:rPr>
        <w:t xml:space="preserve">of statutory construction </w:t>
      </w:r>
      <w:r w:rsidRPr="003F2D98">
        <w:rPr>
          <w:rFonts w:ascii="Times New Roman" w:hAnsi="Times New Roman" w:cs="Times New Roman"/>
          <w:sz w:val="24"/>
          <w:szCs w:val="24"/>
        </w:rPr>
        <w:t xml:space="preserve">at </w:t>
      </w:r>
      <w:r w:rsidRPr="003F2D98" w:rsidR="00B2083F">
        <w:rPr>
          <w:rFonts w:ascii="Times New Roman" w:hAnsi="Times New Roman" w:cs="Times New Roman"/>
          <w:i/>
          <w:sz w:val="24"/>
          <w:szCs w:val="24"/>
        </w:rPr>
        <w:t>Chevron</w:t>
      </w:r>
      <w:r w:rsidRPr="003F2D98" w:rsidR="00B2083F">
        <w:rPr>
          <w:rFonts w:ascii="Times New Roman" w:hAnsi="Times New Roman" w:cs="Times New Roman"/>
          <w:sz w:val="24"/>
          <w:szCs w:val="24"/>
        </w:rPr>
        <w:t xml:space="preserve"> </w:t>
      </w:r>
      <w:r w:rsidRPr="003F2D98">
        <w:rPr>
          <w:rFonts w:ascii="Times New Roman" w:hAnsi="Times New Roman" w:cs="Times New Roman"/>
          <w:sz w:val="24"/>
          <w:szCs w:val="24"/>
        </w:rPr>
        <w:t>step 1</w:t>
      </w:r>
      <w:r w:rsidRPr="003F2D98" w:rsidR="00436DC9">
        <w:rPr>
          <w:rFonts w:ascii="Times New Roman" w:hAnsi="Times New Roman" w:cs="Times New Roman"/>
          <w:sz w:val="24"/>
          <w:szCs w:val="24"/>
        </w:rPr>
        <w:t>, before considering deference to an agency’s interpretation of a statute, to conclude that Congress’ intent is unambiguous and that a suggested interpretation is foreclosed</w:t>
      </w:r>
      <w:r w:rsidRPr="003F2D98">
        <w:rPr>
          <w:rFonts w:ascii="Times New Roman" w:hAnsi="Times New Roman" w:cs="Times New Roman"/>
          <w:sz w:val="24"/>
          <w:szCs w:val="24"/>
        </w:rPr>
        <w:t xml:space="preserve">. </w:t>
      </w:r>
      <w:r w:rsidRPr="003F2D98" w:rsidR="00CF7F9F">
        <w:rPr>
          <w:rFonts w:ascii="Times New Roman" w:hAnsi="Times New Roman" w:cs="Times New Roman"/>
          <w:i/>
          <w:sz w:val="24"/>
          <w:szCs w:val="24"/>
        </w:rPr>
        <w:t>See, e.g.</w:t>
      </w:r>
      <w:r w:rsidRPr="003F2D98" w:rsidR="00CF7F9F">
        <w:rPr>
          <w:rFonts w:ascii="Times New Roman" w:hAnsi="Times New Roman" w:cs="Times New Roman"/>
          <w:sz w:val="24"/>
          <w:szCs w:val="24"/>
        </w:rPr>
        <w:t xml:space="preserve">, </w:t>
      </w:r>
      <w:r w:rsidRPr="003F2D98" w:rsidR="00CF7F9F">
        <w:rPr>
          <w:rFonts w:ascii="Times New Roman" w:hAnsi="Times New Roman" w:cs="Times New Roman"/>
          <w:i/>
          <w:sz w:val="24"/>
          <w:szCs w:val="24"/>
        </w:rPr>
        <w:t>Chevron</w:t>
      </w:r>
      <w:r w:rsidRPr="003F2D98" w:rsidR="00CF7F9F">
        <w:rPr>
          <w:rFonts w:ascii="Times New Roman" w:hAnsi="Times New Roman" w:cs="Times New Roman"/>
          <w:sz w:val="24"/>
          <w:szCs w:val="24"/>
        </w:rPr>
        <w:t>, 467 U.S. at 843 n.9 (</w:t>
      </w:r>
      <w:r w:rsidRPr="003F2D98" w:rsidR="00207E26">
        <w:rPr>
          <w:rFonts w:ascii="Times New Roman" w:hAnsi="Times New Roman" w:cs="Times New Roman"/>
          <w:sz w:val="24"/>
          <w:szCs w:val="24"/>
        </w:rPr>
        <w:t>discussing</w:t>
      </w:r>
      <w:r w:rsidRPr="003F2D98" w:rsidR="00CF7F9F">
        <w:rPr>
          <w:rFonts w:ascii="Times New Roman" w:hAnsi="Times New Roman" w:cs="Times New Roman"/>
          <w:sz w:val="24"/>
          <w:szCs w:val="24"/>
        </w:rPr>
        <w:t xml:space="preserve"> use of “traditional tools of statutory construction” </w:t>
      </w:r>
      <w:r w:rsidRPr="003F2D98" w:rsidR="00207E26">
        <w:rPr>
          <w:rFonts w:ascii="Times New Roman" w:hAnsi="Times New Roman" w:cs="Times New Roman"/>
          <w:sz w:val="24"/>
          <w:szCs w:val="24"/>
        </w:rPr>
        <w:t>in Step 1</w:t>
      </w:r>
      <w:r w:rsidRPr="003F2D98" w:rsidR="00CF7F9F">
        <w:rPr>
          <w:rFonts w:ascii="Times New Roman" w:hAnsi="Times New Roman" w:cs="Times New Roman"/>
          <w:sz w:val="24"/>
          <w:szCs w:val="24"/>
        </w:rPr>
        <w:t xml:space="preserve">); </w:t>
      </w:r>
      <w:r w:rsidRPr="003F2D98" w:rsidR="00CF7F9F">
        <w:rPr>
          <w:rFonts w:ascii="Times New Roman" w:hAnsi="Times New Roman" w:cs="Times New Roman"/>
          <w:i/>
          <w:color w:val="000000" w:themeColor="text1"/>
          <w:sz w:val="24"/>
          <w:szCs w:val="24"/>
        </w:rPr>
        <w:t>St. Cyr</w:t>
      </w:r>
      <w:r w:rsidRPr="003F2D98" w:rsidR="00CF7F9F">
        <w:rPr>
          <w:rFonts w:ascii="Times New Roman" w:hAnsi="Times New Roman" w:cs="Times New Roman"/>
          <w:color w:val="000000" w:themeColor="text1"/>
          <w:sz w:val="24"/>
          <w:szCs w:val="24"/>
        </w:rPr>
        <w:t xml:space="preserve">, 533 U.S. at 319 n.45 (applying presumption against retroactivity </w:t>
      </w:r>
      <w:r w:rsidRPr="003F2D98" w:rsidR="00207E26">
        <w:rPr>
          <w:rFonts w:ascii="Times New Roman" w:hAnsi="Times New Roman" w:cs="Times New Roman"/>
          <w:color w:val="000000" w:themeColor="text1"/>
          <w:sz w:val="24"/>
          <w:szCs w:val="24"/>
        </w:rPr>
        <w:t>to find no ambiguity</w:t>
      </w:r>
      <w:r w:rsidRPr="003F2D98" w:rsidR="00CF7F9F">
        <w:rPr>
          <w:rFonts w:ascii="Times New Roman" w:hAnsi="Times New Roman" w:cs="Times New Roman"/>
          <w:color w:val="000000" w:themeColor="text1"/>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02BF8" w:rsidR="00DC3BF0" w:rsidP="006C589B" w:rsidRDefault="00DC3BF0" w14:paraId="7A86702A" w14:textId="23985A21">
    <w:pPr>
      <w:pStyle w:val="Header"/>
      <w:jc w:val="right"/>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D4F7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94D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D01B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B4DC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1FE69D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D1181AEE"/>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EB65582"/>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53E620E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EDA6A8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BA3FF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E74CBA"/>
    <w:multiLevelType w:val="hybridMultilevel"/>
    <w:tmpl w:val="A99A0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DB15CE"/>
    <w:multiLevelType w:val="hybridMultilevel"/>
    <w:tmpl w:val="47063C4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0541B"/>
    <w:multiLevelType w:val="hybridMultilevel"/>
    <w:tmpl w:val="97FC2FCE"/>
    <w:lvl w:ilvl="0" w:tplc="BDA60F16">
      <w:start w:val="1"/>
      <w:numFmt w:val="upperLetter"/>
      <w:pStyle w:val="Heading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1CA1ACE"/>
    <w:multiLevelType w:val="hybridMultilevel"/>
    <w:tmpl w:val="105ABC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5D429A0"/>
    <w:multiLevelType w:val="hybridMultilevel"/>
    <w:tmpl w:val="8E421040"/>
    <w:lvl w:ilvl="0" w:tplc="1602BF62">
      <w:start w:val="1"/>
      <w:numFmt w:val="upperLetter"/>
      <w:lvlText w:val="%1."/>
      <w:lvlJc w:val="left"/>
      <w:pPr>
        <w:ind w:left="1800" w:hanging="360"/>
      </w:pPr>
      <w:rPr>
        <w:rFonts w:hint="default" w:ascii="Times New Roman" w:hAnsi="Times New Roman" w:cs="Times New Roman"/>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F7E61F9"/>
    <w:multiLevelType w:val="hybridMultilevel"/>
    <w:tmpl w:val="29A2AD20"/>
    <w:lvl w:ilvl="0" w:tplc="82B60B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84BE8"/>
    <w:multiLevelType w:val="hybridMultilevel"/>
    <w:tmpl w:val="1C648FCA"/>
    <w:lvl w:ilvl="0" w:tplc="BB9CCBEC">
      <w:start w:val="1"/>
      <w:numFmt w:val="upperRoman"/>
      <w:lvlText w:val="%1."/>
      <w:lvlJc w:val="left"/>
      <w:pPr>
        <w:ind w:left="1080" w:hanging="720"/>
      </w:pPr>
      <w:rPr>
        <w:rFonts w:hint="default" w:ascii="Times New Roman"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934C05"/>
    <w:multiLevelType w:val="hybridMultilevel"/>
    <w:tmpl w:val="63E013A2"/>
    <w:lvl w:ilvl="0" w:tplc="99585632">
      <w:start w:val="1"/>
      <w:numFmt w:val="lowerLetter"/>
      <w:lvlText w:val="%1."/>
      <w:lvlJc w:val="left"/>
      <w:pPr>
        <w:ind w:left="720" w:hanging="360"/>
      </w:pPr>
    </w:lvl>
    <w:lvl w:ilvl="1" w:tplc="0DF4C160">
      <w:start w:val="1"/>
      <w:numFmt w:val="lowerLetter"/>
      <w:lvlText w:val="%2."/>
      <w:lvlJc w:val="left"/>
      <w:pPr>
        <w:ind w:left="1440" w:hanging="360"/>
      </w:pPr>
    </w:lvl>
    <w:lvl w:ilvl="2" w:tplc="12B8A4A2">
      <w:start w:val="1"/>
      <w:numFmt w:val="lowerRoman"/>
      <w:lvlText w:val="%3."/>
      <w:lvlJc w:val="right"/>
      <w:pPr>
        <w:ind w:left="2160" w:hanging="180"/>
      </w:pPr>
    </w:lvl>
    <w:lvl w:ilvl="3" w:tplc="6FAEDD82">
      <w:start w:val="1"/>
      <w:numFmt w:val="decimal"/>
      <w:lvlText w:val="%4."/>
      <w:lvlJc w:val="left"/>
      <w:pPr>
        <w:ind w:left="2880" w:hanging="360"/>
      </w:pPr>
    </w:lvl>
    <w:lvl w:ilvl="4" w:tplc="43708898">
      <w:start w:val="1"/>
      <w:numFmt w:val="lowerLetter"/>
      <w:lvlText w:val="%5."/>
      <w:lvlJc w:val="left"/>
      <w:pPr>
        <w:ind w:left="3600" w:hanging="360"/>
      </w:pPr>
    </w:lvl>
    <w:lvl w:ilvl="5" w:tplc="A6FECCFC">
      <w:start w:val="1"/>
      <w:numFmt w:val="lowerRoman"/>
      <w:lvlText w:val="%6."/>
      <w:lvlJc w:val="right"/>
      <w:pPr>
        <w:ind w:left="4320" w:hanging="180"/>
      </w:pPr>
    </w:lvl>
    <w:lvl w:ilvl="6" w:tplc="62304122">
      <w:start w:val="1"/>
      <w:numFmt w:val="decimal"/>
      <w:lvlText w:val="%7."/>
      <w:lvlJc w:val="left"/>
      <w:pPr>
        <w:ind w:left="5040" w:hanging="360"/>
      </w:pPr>
    </w:lvl>
    <w:lvl w:ilvl="7" w:tplc="238AE7E2">
      <w:start w:val="1"/>
      <w:numFmt w:val="lowerLetter"/>
      <w:lvlText w:val="%8."/>
      <w:lvlJc w:val="left"/>
      <w:pPr>
        <w:ind w:left="5760" w:hanging="360"/>
      </w:pPr>
    </w:lvl>
    <w:lvl w:ilvl="8" w:tplc="8C9A5B20">
      <w:start w:val="1"/>
      <w:numFmt w:val="lowerRoman"/>
      <w:lvlText w:val="%9."/>
      <w:lvlJc w:val="right"/>
      <w:pPr>
        <w:ind w:left="6480" w:hanging="180"/>
      </w:pPr>
    </w:lvl>
  </w:abstractNum>
  <w:abstractNum w:abstractNumId="18" w15:restartNumberingAfterBreak="0">
    <w:nsid w:val="24EC2BC9"/>
    <w:multiLevelType w:val="hybridMultilevel"/>
    <w:tmpl w:val="6FE4198C"/>
    <w:lvl w:ilvl="0" w:tplc="6D583538">
      <w:start w:val="1"/>
      <w:numFmt w:val="upperRoman"/>
      <w:lvlText w:val="%1."/>
      <w:lvlJc w:val="left"/>
      <w:pPr>
        <w:ind w:left="720" w:hanging="360"/>
      </w:pPr>
      <w:rPr>
        <w:rFonts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8C4145F"/>
    <w:multiLevelType w:val="hybridMultilevel"/>
    <w:tmpl w:val="ABAEA494"/>
    <w:lvl w:ilvl="0" w:tplc="41CED80A">
      <w:start w:val="1"/>
      <w:numFmt w:val="decimal"/>
      <w:pStyle w:val="Heading4"/>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4646C1"/>
    <w:multiLevelType w:val="hybridMultilevel"/>
    <w:tmpl w:val="F7ECCA5C"/>
    <w:lvl w:ilvl="0" w:tplc="C520E224">
      <w:start w:val="1"/>
      <w:numFmt w:val="upperLetter"/>
      <w:pStyle w:val="Style1-Heading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CF6266D"/>
    <w:multiLevelType w:val="hybridMultilevel"/>
    <w:tmpl w:val="47E6B450"/>
    <w:lvl w:ilvl="0" w:tplc="EAB493F0">
      <w:start w:val="1"/>
      <w:numFmt w:val="upp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EF94722"/>
    <w:multiLevelType w:val="hybridMultilevel"/>
    <w:tmpl w:val="3320C0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1025ACF"/>
    <w:multiLevelType w:val="multilevel"/>
    <w:tmpl w:val="04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24" w15:restartNumberingAfterBreak="0">
    <w:nsid w:val="36D250B7"/>
    <w:multiLevelType w:val="hybridMultilevel"/>
    <w:tmpl w:val="C0B8F4F8"/>
    <w:lvl w:ilvl="0" w:tplc="92EAB5FE">
      <w:start w:val="1"/>
      <w:numFmt w:val="upperRoman"/>
      <w:lvlText w:val="%1."/>
      <w:lvlJc w:val="left"/>
      <w:pPr>
        <w:ind w:left="1080" w:hanging="72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8202C8"/>
    <w:multiLevelType w:val="hybridMultilevel"/>
    <w:tmpl w:val="196C8D5A"/>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1EB205A0">
      <w:start w:val="1"/>
      <w:numFmt w:val="lowerRoman"/>
      <w:lvlText w:val="%3."/>
      <w:lvlJc w:val="right"/>
      <w:pPr>
        <w:ind w:left="2160" w:hanging="180"/>
      </w:pPr>
    </w:lvl>
    <w:lvl w:ilvl="3" w:tplc="0966D19C">
      <w:start w:val="1"/>
      <w:numFmt w:val="decimal"/>
      <w:lvlText w:val="%4."/>
      <w:lvlJc w:val="left"/>
      <w:pPr>
        <w:ind w:left="2880" w:hanging="360"/>
      </w:pPr>
    </w:lvl>
    <w:lvl w:ilvl="4" w:tplc="0D68A6D6">
      <w:start w:val="1"/>
      <w:numFmt w:val="lowerLetter"/>
      <w:lvlText w:val="%5."/>
      <w:lvlJc w:val="left"/>
      <w:pPr>
        <w:ind w:left="3600" w:hanging="360"/>
      </w:pPr>
    </w:lvl>
    <w:lvl w:ilvl="5" w:tplc="D95AEB06">
      <w:start w:val="1"/>
      <w:numFmt w:val="lowerRoman"/>
      <w:lvlText w:val="%6."/>
      <w:lvlJc w:val="right"/>
      <w:pPr>
        <w:ind w:left="4320" w:hanging="180"/>
      </w:pPr>
    </w:lvl>
    <w:lvl w:ilvl="6" w:tplc="F294A904">
      <w:start w:val="1"/>
      <w:numFmt w:val="decimal"/>
      <w:lvlText w:val="%7."/>
      <w:lvlJc w:val="left"/>
      <w:pPr>
        <w:ind w:left="5040" w:hanging="360"/>
      </w:pPr>
    </w:lvl>
    <w:lvl w:ilvl="7" w:tplc="B0622D2C">
      <w:start w:val="1"/>
      <w:numFmt w:val="lowerLetter"/>
      <w:lvlText w:val="%8."/>
      <w:lvlJc w:val="left"/>
      <w:pPr>
        <w:ind w:left="5760" w:hanging="360"/>
      </w:pPr>
    </w:lvl>
    <w:lvl w:ilvl="8" w:tplc="569ACF08">
      <w:start w:val="1"/>
      <w:numFmt w:val="lowerRoman"/>
      <w:lvlText w:val="%9."/>
      <w:lvlJc w:val="right"/>
      <w:pPr>
        <w:ind w:left="6480" w:hanging="180"/>
      </w:pPr>
    </w:lvl>
  </w:abstractNum>
  <w:abstractNum w:abstractNumId="26" w15:restartNumberingAfterBreak="0">
    <w:nsid w:val="3EF85FDB"/>
    <w:multiLevelType w:val="hybridMultilevel"/>
    <w:tmpl w:val="29F06A8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3F4327C2"/>
    <w:multiLevelType w:val="hybridMultilevel"/>
    <w:tmpl w:val="5C883CF6"/>
    <w:lvl w:ilvl="0" w:tplc="C9EAB43E">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0AF2FB4"/>
    <w:multiLevelType w:val="multilevel"/>
    <w:tmpl w:val="196C8D5A"/>
    <w:styleLink w:val="CurrentList1"/>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55E6BBD"/>
    <w:multiLevelType w:val="hybridMultilevel"/>
    <w:tmpl w:val="9D568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3B69B8"/>
    <w:multiLevelType w:val="hybridMultilevel"/>
    <w:tmpl w:val="3F946310"/>
    <w:lvl w:ilvl="0" w:tplc="F7447734">
      <w:start w:val="1"/>
      <w:numFmt w:val="upperRoman"/>
      <w:lvlText w:val="%1."/>
      <w:lvlJc w:val="left"/>
      <w:pPr>
        <w:ind w:left="1440" w:hanging="720"/>
      </w:pPr>
      <w:rPr>
        <w:rFonts w:ascii="Times New Roman" w:hAnsi="Times New Roman" w:eastAsia="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581214"/>
    <w:multiLevelType w:val="hybridMultilevel"/>
    <w:tmpl w:val="CFDE0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F653A"/>
    <w:multiLevelType w:val="hybridMultilevel"/>
    <w:tmpl w:val="FFFFFFFF"/>
    <w:lvl w:ilvl="0" w:tplc="FFFFFFFF">
      <w:start w:val="1"/>
      <w:numFmt w:val="decimal"/>
      <w:lvlText w:val="%1."/>
      <w:lvlJc w:val="left"/>
      <w:pPr>
        <w:ind w:left="720" w:hanging="360"/>
      </w:pPr>
    </w:lvl>
    <w:lvl w:ilvl="1" w:tplc="9ADEC23C">
      <w:start w:val="1"/>
      <w:numFmt w:val="decimal"/>
      <w:lvlText w:val="%2."/>
      <w:lvlJc w:val="left"/>
      <w:pPr>
        <w:ind w:left="1440" w:hanging="360"/>
      </w:pPr>
    </w:lvl>
    <w:lvl w:ilvl="2" w:tplc="F5C4F886">
      <w:start w:val="1"/>
      <w:numFmt w:val="lowerRoman"/>
      <w:lvlText w:val="%3."/>
      <w:lvlJc w:val="right"/>
      <w:pPr>
        <w:ind w:left="2160" w:hanging="180"/>
      </w:pPr>
    </w:lvl>
    <w:lvl w:ilvl="3" w:tplc="C08E9712">
      <w:start w:val="1"/>
      <w:numFmt w:val="decimal"/>
      <w:lvlText w:val="%4."/>
      <w:lvlJc w:val="left"/>
      <w:pPr>
        <w:ind w:left="2880" w:hanging="360"/>
      </w:pPr>
    </w:lvl>
    <w:lvl w:ilvl="4" w:tplc="353A4A54">
      <w:start w:val="1"/>
      <w:numFmt w:val="lowerLetter"/>
      <w:lvlText w:val="%5."/>
      <w:lvlJc w:val="left"/>
      <w:pPr>
        <w:ind w:left="3600" w:hanging="360"/>
      </w:pPr>
    </w:lvl>
    <w:lvl w:ilvl="5" w:tplc="E61EBAE2">
      <w:start w:val="1"/>
      <w:numFmt w:val="lowerRoman"/>
      <w:lvlText w:val="%6."/>
      <w:lvlJc w:val="right"/>
      <w:pPr>
        <w:ind w:left="4320" w:hanging="180"/>
      </w:pPr>
    </w:lvl>
    <w:lvl w:ilvl="6" w:tplc="0B7C1200">
      <w:start w:val="1"/>
      <w:numFmt w:val="decimal"/>
      <w:lvlText w:val="%7."/>
      <w:lvlJc w:val="left"/>
      <w:pPr>
        <w:ind w:left="5040" w:hanging="360"/>
      </w:pPr>
    </w:lvl>
    <w:lvl w:ilvl="7" w:tplc="F5462C6A">
      <w:start w:val="1"/>
      <w:numFmt w:val="lowerLetter"/>
      <w:lvlText w:val="%8."/>
      <w:lvlJc w:val="left"/>
      <w:pPr>
        <w:ind w:left="5760" w:hanging="360"/>
      </w:pPr>
    </w:lvl>
    <w:lvl w:ilvl="8" w:tplc="64884E9C">
      <w:start w:val="1"/>
      <w:numFmt w:val="lowerRoman"/>
      <w:lvlText w:val="%9."/>
      <w:lvlJc w:val="right"/>
      <w:pPr>
        <w:ind w:left="6480" w:hanging="180"/>
      </w:pPr>
    </w:lvl>
  </w:abstractNum>
  <w:abstractNum w:abstractNumId="33" w15:restartNumberingAfterBreak="0">
    <w:nsid w:val="6B0A3DB3"/>
    <w:multiLevelType w:val="hybridMultilevel"/>
    <w:tmpl w:val="7ED2DF46"/>
    <w:lvl w:ilvl="0" w:tplc="BBD8C4CA">
      <w:start w:val="1"/>
      <w:numFmt w:val="upperRoman"/>
      <w:pStyle w:val="Heading2"/>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4D0A57"/>
    <w:multiLevelType w:val="hybridMultilevel"/>
    <w:tmpl w:val="A02AEB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53D6401"/>
    <w:multiLevelType w:val="hybridMultilevel"/>
    <w:tmpl w:val="A1C4681C"/>
    <w:lvl w:ilvl="0" w:tplc="97980CA4">
      <w:start w:val="1"/>
      <w:numFmt w:val="upperLetter"/>
      <w:lvlText w:val="%1."/>
      <w:lvlJc w:val="left"/>
      <w:pPr>
        <w:ind w:left="720" w:hanging="360"/>
      </w:pPr>
      <w:rPr>
        <w:rFonts w:ascii="Oswald" w:hAnsi="Oswald" w:cs="Times New Roman" w:eastAsiaTheme="minorHAnsi"/>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E81772D"/>
    <w:multiLevelType w:val="hybridMultilevel"/>
    <w:tmpl w:val="5CE8953A"/>
    <w:lvl w:ilvl="0" w:tplc="472E1F8A">
      <w:start w:val="1"/>
      <w:numFmt w:val="upperRoman"/>
      <w:lvlText w:val="%1."/>
      <w:lvlJc w:val="left"/>
      <w:pPr>
        <w:ind w:left="720" w:hanging="360"/>
      </w:pPr>
      <w:rPr>
        <w:rFonts w:ascii="Times New Roman" w:hAnsi="Times New Roman" w:eastAsia="Times New Roman" w:cs="Times New Roman"/>
        <w:i w:val="0"/>
        <w:iCs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F802E29"/>
    <w:multiLevelType w:val="hybridMultilevel"/>
    <w:tmpl w:val="5E5EB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026817">
    <w:abstractNumId w:val="17"/>
  </w:num>
  <w:num w:numId="2" w16cid:durableId="1741781330">
    <w:abstractNumId w:val="25"/>
  </w:num>
  <w:num w:numId="3" w16cid:durableId="1090154215">
    <w:abstractNumId w:val="15"/>
  </w:num>
  <w:num w:numId="4" w16cid:durableId="565452079">
    <w:abstractNumId w:val="32"/>
  </w:num>
  <w:num w:numId="5" w16cid:durableId="1947229600">
    <w:abstractNumId w:val="20"/>
  </w:num>
  <w:num w:numId="6" w16cid:durableId="538592779">
    <w:abstractNumId w:val="23"/>
  </w:num>
  <w:num w:numId="7" w16cid:durableId="1681008727">
    <w:abstractNumId w:val="31"/>
  </w:num>
  <w:num w:numId="8" w16cid:durableId="1442846296">
    <w:abstractNumId w:val="16"/>
  </w:num>
  <w:num w:numId="9" w16cid:durableId="1104112538">
    <w:abstractNumId w:val="11"/>
  </w:num>
  <w:num w:numId="10" w16cid:durableId="967585832">
    <w:abstractNumId w:val="37"/>
  </w:num>
  <w:num w:numId="11" w16cid:durableId="294415834">
    <w:abstractNumId w:val="30"/>
  </w:num>
  <w:num w:numId="12" w16cid:durableId="190799440">
    <w:abstractNumId w:val="28"/>
  </w:num>
  <w:num w:numId="13" w16cid:durableId="1373463685">
    <w:abstractNumId w:val="21"/>
  </w:num>
  <w:num w:numId="14" w16cid:durableId="1158231120">
    <w:abstractNumId w:val="29"/>
  </w:num>
  <w:num w:numId="15" w16cid:durableId="2128038230">
    <w:abstractNumId w:val="10"/>
  </w:num>
  <w:num w:numId="16" w16cid:durableId="235020601">
    <w:abstractNumId w:val="18"/>
  </w:num>
  <w:num w:numId="17" w16cid:durableId="2128305369">
    <w:abstractNumId w:val="22"/>
  </w:num>
  <w:num w:numId="18" w16cid:durableId="2121410706">
    <w:abstractNumId w:val="36"/>
  </w:num>
  <w:num w:numId="19" w16cid:durableId="1004092676">
    <w:abstractNumId w:val="24"/>
  </w:num>
  <w:num w:numId="20" w16cid:durableId="1893076703">
    <w:abstractNumId w:val="35"/>
  </w:num>
  <w:num w:numId="21" w16cid:durableId="1257329041">
    <w:abstractNumId w:val="26"/>
  </w:num>
  <w:num w:numId="22" w16cid:durableId="75716113">
    <w:abstractNumId w:val="34"/>
  </w:num>
  <w:num w:numId="23" w16cid:durableId="953709796">
    <w:abstractNumId w:val="14"/>
  </w:num>
  <w:num w:numId="24" w16cid:durableId="931625294">
    <w:abstractNumId w:val="13"/>
  </w:num>
  <w:num w:numId="25" w16cid:durableId="2076513934">
    <w:abstractNumId w:val="27"/>
  </w:num>
  <w:num w:numId="26" w16cid:durableId="341128124">
    <w:abstractNumId w:val="8"/>
  </w:num>
  <w:num w:numId="27" w16cid:durableId="1326519295">
    <w:abstractNumId w:val="9"/>
  </w:num>
  <w:num w:numId="28" w16cid:durableId="260526314">
    <w:abstractNumId w:val="7"/>
  </w:num>
  <w:num w:numId="29" w16cid:durableId="436487312">
    <w:abstractNumId w:val="6"/>
  </w:num>
  <w:num w:numId="30" w16cid:durableId="11076328">
    <w:abstractNumId w:val="5"/>
  </w:num>
  <w:num w:numId="31" w16cid:durableId="1170873804">
    <w:abstractNumId w:val="4"/>
  </w:num>
  <w:num w:numId="32" w16cid:durableId="1317228278">
    <w:abstractNumId w:val="3"/>
  </w:num>
  <w:num w:numId="33" w16cid:durableId="1473062050">
    <w:abstractNumId w:val="2"/>
  </w:num>
  <w:num w:numId="34" w16cid:durableId="1770853699">
    <w:abstractNumId w:val="1"/>
  </w:num>
  <w:num w:numId="35" w16cid:durableId="1758819609">
    <w:abstractNumId w:val="0"/>
  </w:num>
  <w:num w:numId="36" w16cid:durableId="853691117">
    <w:abstractNumId w:val="33"/>
  </w:num>
  <w:num w:numId="37" w16cid:durableId="569926329">
    <w:abstractNumId w:val="12"/>
  </w:num>
  <w:num w:numId="38" w16cid:durableId="1819809960">
    <w:abstractNumId w:val="12"/>
    <w:lvlOverride w:ilvl="0">
      <w:startOverride w:val="1"/>
    </w:lvlOverride>
  </w:num>
  <w:num w:numId="39" w16cid:durableId="653536060">
    <w:abstractNumId w:val="1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4AA2BF"/>
    <w:rsid w:val="00002120"/>
    <w:rsid w:val="0000357D"/>
    <w:rsid w:val="0000388B"/>
    <w:rsid w:val="00003E31"/>
    <w:rsid w:val="00004682"/>
    <w:rsid w:val="000073F7"/>
    <w:rsid w:val="00010597"/>
    <w:rsid w:val="0001081D"/>
    <w:rsid w:val="00010B23"/>
    <w:rsid w:val="0001149C"/>
    <w:rsid w:val="00011D25"/>
    <w:rsid w:val="00011DD1"/>
    <w:rsid w:val="00012C17"/>
    <w:rsid w:val="000204A5"/>
    <w:rsid w:val="00023AA8"/>
    <w:rsid w:val="00030667"/>
    <w:rsid w:val="00032FB7"/>
    <w:rsid w:val="000331A2"/>
    <w:rsid w:val="00034339"/>
    <w:rsid w:val="000362B4"/>
    <w:rsid w:val="000370E7"/>
    <w:rsid w:val="000415FD"/>
    <w:rsid w:val="00042530"/>
    <w:rsid w:val="000450B2"/>
    <w:rsid w:val="00047973"/>
    <w:rsid w:val="000513C5"/>
    <w:rsid w:val="00052708"/>
    <w:rsid w:val="00054FA2"/>
    <w:rsid w:val="0005592F"/>
    <w:rsid w:val="00056745"/>
    <w:rsid w:val="000579AF"/>
    <w:rsid w:val="000617EA"/>
    <w:rsid w:val="0006631F"/>
    <w:rsid w:val="000673C6"/>
    <w:rsid w:val="00071692"/>
    <w:rsid w:val="00073751"/>
    <w:rsid w:val="00082AB2"/>
    <w:rsid w:val="00082F51"/>
    <w:rsid w:val="00085A23"/>
    <w:rsid w:val="00085D3E"/>
    <w:rsid w:val="000902FB"/>
    <w:rsid w:val="000924CD"/>
    <w:rsid w:val="00096504"/>
    <w:rsid w:val="000969B7"/>
    <w:rsid w:val="00097D1B"/>
    <w:rsid w:val="000A2E6A"/>
    <w:rsid w:val="000A3CD1"/>
    <w:rsid w:val="000A4E72"/>
    <w:rsid w:val="000B1799"/>
    <w:rsid w:val="000B2FAC"/>
    <w:rsid w:val="000B52E9"/>
    <w:rsid w:val="000B71B8"/>
    <w:rsid w:val="000C78CC"/>
    <w:rsid w:val="000D538F"/>
    <w:rsid w:val="000D5FBF"/>
    <w:rsid w:val="000D710B"/>
    <w:rsid w:val="000E5EA5"/>
    <w:rsid w:val="000E78F1"/>
    <w:rsid w:val="000F1484"/>
    <w:rsid w:val="000F4F66"/>
    <w:rsid w:val="000F6296"/>
    <w:rsid w:val="00101892"/>
    <w:rsid w:val="001029A7"/>
    <w:rsid w:val="00104DAB"/>
    <w:rsid w:val="0010591C"/>
    <w:rsid w:val="001102E1"/>
    <w:rsid w:val="00111297"/>
    <w:rsid w:val="0011568C"/>
    <w:rsid w:val="00117593"/>
    <w:rsid w:val="001246BC"/>
    <w:rsid w:val="001260C9"/>
    <w:rsid w:val="00130216"/>
    <w:rsid w:val="001320AC"/>
    <w:rsid w:val="001335F5"/>
    <w:rsid w:val="00135A44"/>
    <w:rsid w:val="0013798A"/>
    <w:rsid w:val="0014016B"/>
    <w:rsid w:val="001418C8"/>
    <w:rsid w:val="00146217"/>
    <w:rsid w:val="00147EC2"/>
    <w:rsid w:val="001511CB"/>
    <w:rsid w:val="001519DE"/>
    <w:rsid w:val="001521EC"/>
    <w:rsid w:val="00152DCB"/>
    <w:rsid w:val="00155B17"/>
    <w:rsid w:val="00157AD2"/>
    <w:rsid w:val="001631FB"/>
    <w:rsid w:val="0017038F"/>
    <w:rsid w:val="00170A13"/>
    <w:rsid w:val="0017170A"/>
    <w:rsid w:val="00174E47"/>
    <w:rsid w:val="00177318"/>
    <w:rsid w:val="00182254"/>
    <w:rsid w:val="00183A7D"/>
    <w:rsid w:val="00186E7E"/>
    <w:rsid w:val="00191DA0"/>
    <w:rsid w:val="00193B3A"/>
    <w:rsid w:val="00193C63"/>
    <w:rsid w:val="00193F25"/>
    <w:rsid w:val="00195FA9"/>
    <w:rsid w:val="001974D0"/>
    <w:rsid w:val="001A2631"/>
    <w:rsid w:val="001A2D69"/>
    <w:rsid w:val="001B26FA"/>
    <w:rsid w:val="001B434D"/>
    <w:rsid w:val="001B7539"/>
    <w:rsid w:val="001C1715"/>
    <w:rsid w:val="001C1EDE"/>
    <w:rsid w:val="001C57A4"/>
    <w:rsid w:val="001C5E32"/>
    <w:rsid w:val="001C7E3D"/>
    <w:rsid w:val="001D0040"/>
    <w:rsid w:val="001E2F75"/>
    <w:rsid w:val="001E34FF"/>
    <w:rsid w:val="001E67B6"/>
    <w:rsid w:val="001F2587"/>
    <w:rsid w:val="001F3221"/>
    <w:rsid w:val="001F3861"/>
    <w:rsid w:val="001F3CA0"/>
    <w:rsid w:val="001F5C95"/>
    <w:rsid w:val="00200F59"/>
    <w:rsid w:val="00201C83"/>
    <w:rsid w:val="00206C10"/>
    <w:rsid w:val="00207570"/>
    <w:rsid w:val="00207E26"/>
    <w:rsid w:val="00212A18"/>
    <w:rsid w:val="002160DE"/>
    <w:rsid w:val="002212CB"/>
    <w:rsid w:val="00222610"/>
    <w:rsid w:val="00230186"/>
    <w:rsid w:val="0023174A"/>
    <w:rsid w:val="002415B4"/>
    <w:rsid w:val="0024299A"/>
    <w:rsid w:val="002439E4"/>
    <w:rsid w:val="00245BB9"/>
    <w:rsid w:val="002501AE"/>
    <w:rsid w:val="00257253"/>
    <w:rsid w:val="00260D69"/>
    <w:rsid w:val="00261A8B"/>
    <w:rsid w:val="00264105"/>
    <w:rsid w:val="0026501D"/>
    <w:rsid w:val="00270917"/>
    <w:rsid w:val="0027428C"/>
    <w:rsid w:val="0027787E"/>
    <w:rsid w:val="00280DF4"/>
    <w:rsid w:val="00282392"/>
    <w:rsid w:val="0028722A"/>
    <w:rsid w:val="00292D95"/>
    <w:rsid w:val="002A0978"/>
    <w:rsid w:val="002A620A"/>
    <w:rsid w:val="002A66AF"/>
    <w:rsid w:val="002B133A"/>
    <w:rsid w:val="002B18FC"/>
    <w:rsid w:val="002B30C9"/>
    <w:rsid w:val="002B3C48"/>
    <w:rsid w:val="002B4F8D"/>
    <w:rsid w:val="002B6A2D"/>
    <w:rsid w:val="002C0176"/>
    <w:rsid w:val="002C3A79"/>
    <w:rsid w:val="002D17EF"/>
    <w:rsid w:val="002D2990"/>
    <w:rsid w:val="002D2E33"/>
    <w:rsid w:val="002D3D23"/>
    <w:rsid w:val="002D55C9"/>
    <w:rsid w:val="002D72DC"/>
    <w:rsid w:val="002E0660"/>
    <w:rsid w:val="002E24F6"/>
    <w:rsid w:val="002E5905"/>
    <w:rsid w:val="002E60BF"/>
    <w:rsid w:val="002E7B87"/>
    <w:rsid w:val="002F14DB"/>
    <w:rsid w:val="002F293F"/>
    <w:rsid w:val="002F29A1"/>
    <w:rsid w:val="002F6F4A"/>
    <w:rsid w:val="00302BF8"/>
    <w:rsid w:val="00303DD8"/>
    <w:rsid w:val="00307458"/>
    <w:rsid w:val="00312687"/>
    <w:rsid w:val="00316006"/>
    <w:rsid w:val="00322226"/>
    <w:rsid w:val="003239D5"/>
    <w:rsid w:val="003241C6"/>
    <w:rsid w:val="00330826"/>
    <w:rsid w:val="00333D34"/>
    <w:rsid w:val="003358C0"/>
    <w:rsid w:val="00336F4E"/>
    <w:rsid w:val="00350CE8"/>
    <w:rsid w:val="00353F07"/>
    <w:rsid w:val="00362A59"/>
    <w:rsid w:val="003630BA"/>
    <w:rsid w:val="00365A09"/>
    <w:rsid w:val="00366B1E"/>
    <w:rsid w:val="00371168"/>
    <w:rsid w:val="00372936"/>
    <w:rsid w:val="00373794"/>
    <w:rsid w:val="00375702"/>
    <w:rsid w:val="003813E0"/>
    <w:rsid w:val="003822CE"/>
    <w:rsid w:val="00383B06"/>
    <w:rsid w:val="00384748"/>
    <w:rsid w:val="00386BD2"/>
    <w:rsid w:val="00390D75"/>
    <w:rsid w:val="0039166B"/>
    <w:rsid w:val="00392BAE"/>
    <w:rsid w:val="00393DD9"/>
    <w:rsid w:val="003971B5"/>
    <w:rsid w:val="003A4BE8"/>
    <w:rsid w:val="003B016A"/>
    <w:rsid w:val="003B18AB"/>
    <w:rsid w:val="003B2BA2"/>
    <w:rsid w:val="003B3ADC"/>
    <w:rsid w:val="003B484E"/>
    <w:rsid w:val="003B51D8"/>
    <w:rsid w:val="003C1E00"/>
    <w:rsid w:val="003C7040"/>
    <w:rsid w:val="003D37B5"/>
    <w:rsid w:val="003D4F82"/>
    <w:rsid w:val="003D5C1E"/>
    <w:rsid w:val="003E1B21"/>
    <w:rsid w:val="003E3A5B"/>
    <w:rsid w:val="003E4871"/>
    <w:rsid w:val="003E70F6"/>
    <w:rsid w:val="003F0246"/>
    <w:rsid w:val="003F28AD"/>
    <w:rsid w:val="003F2D98"/>
    <w:rsid w:val="00405579"/>
    <w:rsid w:val="00405CBC"/>
    <w:rsid w:val="004203CE"/>
    <w:rsid w:val="00420CF5"/>
    <w:rsid w:val="004236CB"/>
    <w:rsid w:val="00424078"/>
    <w:rsid w:val="00425CCB"/>
    <w:rsid w:val="00425D05"/>
    <w:rsid w:val="004322EF"/>
    <w:rsid w:val="00434CF3"/>
    <w:rsid w:val="00436DC9"/>
    <w:rsid w:val="00440C9B"/>
    <w:rsid w:val="004410F0"/>
    <w:rsid w:val="0044116A"/>
    <w:rsid w:val="00441C7F"/>
    <w:rsid w:val="00444048"/>
    <w:rsid w:val="00445120"/>
    <w:rsid w:val="004452E3"/>
    <w:rsid w:val="004528FD"/>
    <w:rsid w:val="00454C18"/>
    <w:rsid w:val="0045574A"/>
    <w:rsid w:val="00455750"/>
    <w:rsid w:val="0045721C"/>
    <w:rsid w:val="00461669"/>
    <w:rsid w:val="00472EBB"/>
    <w:rsid w:val="0047352D"/>
    <w:rsid w:val="00475AB2"/>
    <w:rsid w:val="0048100E"/>
    <w:rsid w:val="004838D7"/>
    <w:rsid w:val="004838E4"/>
    <w:rsid w:val="00490DC9"/>
    <w:rsid w:val="00492751"/>
    <w:rsid w:val="0049508A"/>
    <w:rsid w:val="004950A7"/>
    <w:rsid w:val="004A4910"/>
    <w:rsid w:val="004B4ED9"/>
    <w:rsid w:val="004B54A4"/>
    <w:rsid w:val="004B5DD5"/>
    <w:rsid w:val="004D2575"/>
    <w:rsid w:val="004D2F56"/>
    <w:rsid w:val="004D3B31"/>
    <w:rsid w:val="004D6B58"/>
    <w:rsid w:val="004E39B6"/>
    <w:rsid w:val="004E7633"/>
    <w:rsid w:val="004F2C79"/>
    <w:rsid w:val="004F4C8A"/>
    <w:rsid w:val="004F5860"/>
    <w:rsid w:val="0050290D"/>
    <w:rsid w:val="00504E62"/>
    <w:rsid w:val="00516513"/>
    <w:rsid w:val="00517098"/>
    <w:rsid w:val="00520D07"/>
    <w:rsid w:val="005247F4"/>
    <w:rsid w:val="0052525F"/>
    <w:rsid w:val="00527BEE"/>
    <w:rsid w:val="00532135"/>
    <w:rsid w:val="00532573"/>
    <w:rsid w:val="00534BB1"/>
    <w:rsid w:val="00545304"/>
    <w:rsid w:val="00547D49"/>
    <w:rsid w:val="00550B86"/>
    <w:rsid w:val="005515D0"/>
    <w:rsid w:val="00551DAC"/>
    <w:rsid w:val="00553D57"/>
    <w:rsid w:val="00554D55"/>
    <w:rsid w:val="005551ED"/>
    <w:rsid w:val="005553D2"/>
    <w:rsid w:val="00563387"/>
    <w:rsid w:val="00566EAC"/>
    <w:rsid w:val="0057090F"/>
    <w:rsid w:val="0057256A"/>
    <w:rsid w:val="00572C0B"/>
    <w:rsid w:val="00574175"/>
    <w:rsid w:val="00583967"/>
    <w:rsid w:val="00583B12"/>
    <w:rsid w:val="00583FBA"/>
    <w:rsid w:val="0059193A"/>
    <w:rsid w:val="00594CB5"/>
    <w:rsid w:val="00595A97"/>
    <w:rsid w:val="00596940"/>
    <w:rsid w:val="005A1B5C"/>
    <w:rsid w:val="005A2705"/>
    <w:rsid w:val="005A47C7"/>
    <w:rsid w:val="005A6735"/>
    <w:rsid w:val="005B1F46"/>
    <w:rsid w:val="005B3574"/>
    <w:rsid w:val="005B3AD4"/>
    <w:rsid w:val="005B532A"/>
    <w:rsid w:val="005C0046"/>
    <w:rsid w:val="005C0ADC"/>
    <w:rsid w:val="005C335A"/>
    <w:rsid w:val="005C5B29"/>
    <w:rsid w:val="005C6CFD"/>
    <w:rsid w:val="005C7028"/>
    <w:rsid w:val="005D022D"/>
    <w:rsid w:val="005D2865"/>
    <w:rsid w:val="005D2963"/>
    <w:rsid w:val="005D37F1"/>
    <w:rsid w:val="005D4495"/>
    <w:rsid w:val="005D7456"/>
    <w:rsid w:val="005E2367"/>
    <w:rsid w:val="005E282A"/>
    <w:rsid w:val="005E5197"/>
    <w:rsid w:val="005F2629"/>
    <w:rsid w:val="005F2BCA"/>
    <w:rsid w:val="005F55FF"/>
    <w:rsid w:val="00600406"/>
    <w:rsid w:val="00600828"/>
    <w:rsid w:val="0060572C"/>
    <w:rsid w:val="00606340"/>
    <w:rsid w:val="0061130E"/>
    <w:rsid w:val="00611BCA"/>
    <w:rsid w:val="006137D0"/>
    <w:rsid w:val="00616780"/>
    <w:rsid w:val="00617E66"/>
    <w:rsid w:val="00622492"/>
    <w:rsid w:val="00623B41"/>
    <w:rsid w:val="00636D6C"/>
    <w:rsid w:val="00645453"/>
    <w:rsid w:val="0065712A"/>
    <w:rsid w:val="0066185F"/>
    <w:rsid w:val="00662C3F"/>
    <w:rsid w:val="00663234"/>
    <w:rsid w:val="0066387E"/>
    <w:rsid w:val="00663AF5"/>
    <w:rsid w:val="00664145"/>
    <w:rsid w:val="00665B7E"/>
    <w:rsid w:val="00670530"/>
    <w:rsid w:val="006718C7"/>
    <w:rsid w:val="0068620B"/>
    <w:rsid w:val="00692D86"/>
    <w:rsid w:val="0069438F"/>
    <w:rsid w:val="00697125"/>
    <w:rsid w:val="00697221"/>
    <w:rsid w:val="00697852"/>
    <w:rsid w:val="006A07EC"/>
    <w:rsid w:val="006A1528"/>
    <w:rsid w:val="006A17DC"/>
    <w:rsid w:val="006A66D1"/>
    <w:rsid w:val="006A7948"/>
    <w:rsid w:val="006B708D"/>
    <w:rsid w:val="006C0485"/>
    <w:rsid w:val="006C1C86"/>
    <w:rsid w:val="006C589B"/>
    <w:rsid w:val="006C58BB"/>
    <w:rsid w:val="006C6DA3"/>
    <w:rsid w:val="006C72CF"/>
    <w:rsid w:val="006D0A3B"/>
    <w:rsid w:val="006D2F32"/>
    <w:rsid w:val="006D5BFD"/>
    <w:rsid w:val="006D6CF4"/>
    <w:rsid w:val="006E07E4"/>
    <w:rsid w:val="006E22AB"/>
    <w:rsid w:val="006E4D2E"/>
    <w:rsid w:val="006E5B6C"/>
    <w:rsid w:val="006E6D9E"/>
    <w:rsid w:val="006E763F"/>
    <w:rsid w:val="006F1189"/>
    <w:rsid w:val="006F51BD"/>
    <w:rsid w:val="006F6CF5"/>
    <w:rsid w:val="00703B12"/>
    <w:rsid w:val="00704A8D"/>
    <w:rsid w:val="00706AE8"/>
    <w:rsid w:val="007071C2"/>
    <w:rsid w:val="007139A7"/>
    <w:rsid w:val="00721182"/>
    <w:rsid w:val="00721E27"/>
    <w:rsid w:val="00725E9D"/>
    <w:rsid w:val="007304A2"/>
    <w:rsid w:val="00730A22"/>
    <w:rsid w:val="00730D2C"/>
    <w:rsid w:val="00731BCE"/>
    <w:rsid w:val="00733E60"/>
    <w:rsid w:val="00736188"/>
    <w:rsid w:val="007369BC"/>
    <w:rsid w:val="00741BD9"/>
    <w:rsid w:val="007449F4"/>
    <w:rsid w:val="00746756"/>
    <w:rsid w:val="00747150"/>
    <w:rsid w:val="0075693D"/>
    <w:rsid w:val="00757352"/>
    <w:rsid w:val="007604D2"/>
    <w:rsid w:val="00762EBD"/>
    <w:rsid w:val="0077089D"/>
    <w:rsid w:val="00773DE8"/>
    <w:rsid w:val="007741A5"/>
    <w:rsid w:val="007759AF"/>
    <w:rsid w:val="00776FD5"/>
    <w:rsid w:val="00777420"/>
    <w:rsid w:val="00780027"/>
    <w:rsid w:val="00783F06"/>
    <w:rsid w:val="007844D3"/>
    <w:rsid w:val="0078617E"/>
    <w:rsid w:val="007866FB"/>
    <w:rsid w:val="00786A51"/>
    <w:rsid w:val="00791987"/>
    <w:rsid w:val="00793C28"/>
    <w:rsid w:val="007954DF"/>
    <w:rsid w:val="00795F9C"/>
    <w:rsid w:val="007A2E37"/>
    <w:rsid w:val="007A6A3E"/>
    <w:rsid w:val="007A7EDC"/>
    <w:rsid w:val="007B0188"/>
    <w:rsid w:val="007B0454"/>
    <w:rsid w:val="007B2E7A"/>
    <w:rsid w:val="007B4BC4"/>
    <w:rsid w:val="007B5BF6"/>
    <w:rsid w:val="007B69D4"/>
    <w:rsid w:val="007C2C92"/>
    <w:rsid w:val="007C39C6"/>
    <w:rsid w:val="007C4DE4"/>
    <w:rsid w:val="007D05D9"/>
    <w:rsid w:val="007D1033"/>
    <w:rsid w:val="007D1825"/>
    <w:rsid w:val="007D1DCE"/>
    <w:rsid w:val="007E66F8"/>
    <w:rsid w:val="007F0D6A"/>
    <w:rsid w:val="007F26B8"/>
    <w:rsid w:val="007F37CE"/>
    <w:rsid w:val="007F3E2A"/>
    <w:rsid w:val="0080485E"/>
    <w:rsid w:val="00810E31"/>
    <w:rsid w:val="00813797"/>
    <w:rsid w:val="00816979"/>
    <w:rsid w:val="00816EA8"/>
    <w:rsid w:val="0082112C"/>
    <w:rsid w:val="00821AC9"/>
    <w:rsid w:val="00824455"/>
    <w:rsid w:val="00826444"/>
    <w:rsid w:val="00826935"/>
    <w:rsid w:val="0083421C"/>
    <w:rsid w:val="00835390"/>
    <w:rsid w:val="00835DA9"/>
    <w:rsid w:val="00841A97"/>
    <w:rsid w:val="00843CA1"/>
    <w:rsid w:val="00846804"/>
    <w:rsid w:val="008517A5"/>
    <w:rsid w:val="00857A4E"/>
    <w:rsid w:val="00862E5B"/>
    <w:rsid w:val="00867C07"/>
    <w:rsid w:val="00870F6F"/>
    <w:rsid w:val="00871FCF"/>
    <w:rsid w:val="00871FEB"/>
    <w:rsid w:val="00872486"/>
    <w:rsid w:val="00872C65"/>
    <w:rsid w:val="00880FB2"/>
    <w:rsid w:val="00882BE7"/>
    <w:rsid w:val="00883694"/>
    <w:rsid w:val="00890BB2"/>
    <w:rsid w:val="008927F1"/>
    <w:rsid w:val="00894C68"/>
    <w:rsid w:val="008A1872"/>
    <w:rsid w:val="008A485C"/>
    <w:rsid w:val="008A59A5"/>
    <w:rsid w:val="008A65C4"/>
    <w:rsid w:val="008A7A18"/>
    <w:rsid w:val="008B1F7B"/>
    <w:rsid w:val="008B3178"/>
    <w:rsid w:val="008B4DEC"/>
    <w:rsid w:val="008B5BF0"/>
    <w:rsid w:val="008B6EAC"/>
    <w:rsid w:val="008C2833"/>
    <w:rsid w:val="008C329C"/>
    <w:rsid w:val="008D2E3F"/>
    <w:rsid w:val="008D7A7B"/>
    <w:rsid w:val="008E0D1C"/>
    <w:rsid w:val="008E0E53"/>
    <w:rsid w:val="008E23FE"/>
    <w:rsid w:val="008E3F57"/>
    <w:rsid w:val="008E735B"/>
    <w:rsid w:val="008F1BFC"/>
    <w:rsid w:val="008F2F86"/>
    <w:rsid w:val="008F37CC"/>
    <w:rsid w:val="008F48A2"/>
    <w:rsid w:val="008F51E1"/>
    <w:rsid w:val="008F73BE"/>
    <w:rsid w:val="00902825"/>
    <w:rsid w:val="00904BE5"/>
    <w:rsid w:val="009110F2"/>
    <w:rsid w:val="00911C9A"/>
    <w:rsid w:val="00912F49"/>
    <w:rsid w:val="00915A2D"/>
    <w:rsid w:val="00921F0D"/>
    <w:rsid w:val="00925E77"/>
    <w:rsid w:val="0093220B"/>
    <w:rsid w:val="009338C7"/>
    <w:rsid w:val="00936BD3"/>
    <w:rsid w:val="00940662"/>
    <w:rsid w:val="009443FD"/>
    <w:rsid w:val="009556D3"/>
    <w:rsid w:val="00960275"/>
    <w:rsid w:val="00964507"/>
    <w:rsid w:val="00964710"/>
    <w:rsid w:val="009653A6"/>
    <w:rsid w:val="00965ED6"/>
    <w:rsid w:val="0096612B"/>
    <w:rsid w:val="00974BBD"/>
    <w:rsid w:val="009754AD"/>
    <w:rsid w:val="009759D5"/>
    <w:rsid w:val="00977666"/>
    <w:rsid w:val="009815FA"/>
    <w:rsid w:val="00983D55"/>
    <w:rsid w:val="009846C7"/>
    <w:rsid w:val="009872EB"/>
    <w:rsid w:val="00987585"/>
    <w:rsid w:val="00991AB5"/>
    <w:rsid w:val="00991F53"/>
    <w:rsid w:val="00992E2A"/>
    <w:rsid w:val="00993013"/>
    <w:rsid w:val="00996BA4"/>
    <w:rsid w:val="009A6F32"/>
    <w:rsid w:val="009B41EA"/>
    <w:rsid w:val="009B5248"/>
    <w:rsid w:val="009B5E4A"/>
    <w:rsid w:val="009B6E5A"/>
    <w:rsid w:val="009C377F"/>
    <w:rsid w:val="009C4F1D"/>
    <w:rsid w:val="009C4FED"/>
    <w:rsid w:val="009C7A8C"/>
    <w:rsid w:val="009D0180"/>
    <w:rsid w:val="009D2C3B"/>
    <w:rsid w:val="009D6289"/>
    <w:rsid w:val="009E078F"/>
    <w:rsid w:val="009E342F"/>
    <w:rsid w:val="009E369D"/>
    <w:rsid w:val="009E626F"/>
    <w:rsid w:val="009E72B9"/>
    <w:rsid w:val="009F56BA"/>
    <w:rsid w:val="009F6A6B"/>
    <w:rsid w:val="00A00333"/>
    <w:rsid w:val="00A004F5"/>
    <w:rsid w:val="00A0150B"/>
    <w:rsid w:val="00A04BC1"/>
    <w:rsid w:val="00A1354E"/>
    <w:rsid w:val="00A14470"/>
    <w:rsid w:val="00A14720"/>
    <w:rsid w:val="00A21709"/>
    <w:rsid w:val="00A22083"/>
    <w:rsid w:val="00A2219D"/>
    <w:rsid w:val="00A309FB"/>
    <w:rsid w:val="00A34575"/>
    <w:rsid w:val="00A34CB4"/>
    <w:rsid w:val="00A36721"/>
    <w:rsid w:val="00A368E7"/>
    <w:rsid w:val="00A37137"/>
    <w:rsid w:val="00A41361"/>
    <w:rsid w:val="00A41D06"/>
    <w:rsid w:val="00A43096"/>
    <w:rsid w:val="00A43CBC"/>
    <w:rsid w:val="00A44030"/>
    <w:rsid w:val="00A45225"/>
    <w:rsid w:val="00A4797C"/>
    <w:rsid w:val="00A47DF9"/>
    <w:rsid w:val="00A54952"/>
    <w:rsid w:val="00A570AB"/>
    <w:rsid w:val="00A62D2E"/>
    <w:rsid w:val="00A63276"/>
    <w:rsid w:val="00A65023"/>
    <w:rsid w:val="00A6698A"/>
    <w:rsid w:val="00A71A8D"/>
    <w:rsid w:val="00A71DB4"/>
    <w:rsid w:val="00A72BE8"/>
    <w:rsid w:val="00A72BF1"/>
    <w:rsid w:val="00A73D4A"/>
    <w:rsid w:val="00A76F80"/>
    <w:rsid w:val="00A80474"/>
    <w:rsid w:val="00A813C6"/>
    <w:rsid w:val="00A81D65"/>
    <w:rsid w:val="00A8294A"/>
    <w:rsid w:val="00A83573"/>
    <w:rsid w:val="00A83664"/>
    <w:rsid w:val="00A83BE4"/>
    <w:rsid w:val="00A84088"/>
    <w:rsid w:val="00A8659A"/>
    <w:rsid w:val="00A87712"/>
    <w:rsid w:val="00A906F2"/>
    <w:rsid w:val="00A92692"/>
    <w:rsid w:val="00A95754"/>
    <w:rsid w:val="00A95B27"/>
    <w:rsid w:val="00A9723D"/>
    <w:rsid w:val="00AA04E4"/>
    <w:rsid w:val="00AA10CA"/>
    <w:rsid w:val="00AA1D71"/>
    <w:rsid w:val="00AA2FC5"/>
    <w:rsid w:val="00AB007E"/>
    <w:rsid w:val="00AB178A"/>
    <w:rsid w:val="00AB2F0B"/>
    <w:rsid w:val="00AB65EA"/>
    <w:rsid w:val="00AB6744"/>
    <w:rsid w:val="00AB7259"/>
    <w:rsid w:val="00AB7555"/>
    <w:rsid w:val="00AC655D"/>
    <w:rsid w:val="00AC7F71"/>
    <w:rsid w:val="00AD0298"/>
    <w:rsid w:val="00AD3588"/>
    <w:rsid w:val="00AD38EB"/>
    <w:rsid w:val="00AD4737"/>
    <w:rsid w:val="00AD4B5A"/>
    <w:rsid w:val="00AE192E"/>
    <w:rsid w:val="00AF6D04"/>
    <w:rsid w:val="00B00A11"/>
    <w:rsid w:val="00B041E2"/>
    <w:rsid w:val="00B058AB"/>
    <w:rsid w:val="00B1109E"/>
    <w:rsid w:val="00B11D3F"/>
    <w:rsid w:val="00B13D44"/>
    <w:rsid w:val="00B149C0"/>
    <w:rsid w:val="00B16F8B"/>
    <w:rsid w:val="00B172F8"/>
    <w:rsid w:val="00B17454"/>
    <w:rsid w:val="00B2083F"/>
    <w:rsid w:val="00B256E4"/>
    <w:rsid w:val="00B257C0"/>
    <w:rsid w:val="00B265E6"/>
    <w:rsid w:val="00B26748"/>
    <w:rsid w:val="00B268D3"/>
    <w:rsid w:val="00B33606"/>
    <w:rsid w:val="00B36D93"/>
    <w:rsid w:val="00B41231"/>
    <w:rsid w:val="00B42B41"/>
    <w:rsid w:val="00B503ED"/>
    <w:rsid w:val="00B53300"/>
    <w:rsid w:val="00B53A33"/>
    <w:rsid w:val="00B541D3"/>
    <w:rsid w:val="00B54F94"/>
    <w:rsid w:val="00B63B8B"/>
    <w:rsid w:val="00B66189"/>
    <w:rsid w:val="00B70E63"/>
    <w:rsid w:val="00B728F8"/>
    <w:rsid w:val="00B7469A"/>
    <w:rsid w:val="00B74ACA"/>
    <w:rsid w:val="00B8067F"/>
    <w:rsid w:val="00B832E2"/>
    <w:rsid w:val="00B861C7"/>
    <w:rsid w:val="00B870E5"/>
    <w:rsid w:val="00B87AFF"/>
    <w:rsid w:val="00B931CD"/>
    <w:rsid w:val="00B944C9"/>
    <w:rsid w:val="00BA598C"/>
    <w:rsid w:val="00BA699F"/>
    <w:rsid w:val="00BB1D5D"/>
    <w:rsid w:val="00BB45AE"/>
    <w:rsid w:val="00BB7E37"/>
    <w:rsid w:val="00BC18F7"/>
    <w:rsid w:val="00BC1A07"/>
    <w:rsid w:val="00BC4F43"/>
    <w:rsid w:val="00BC5DB4"/>
    <w:rsid w:val="00BC6016"/>
    <w:rsid w:val="00BD0E40"/>
    <w:rsid w:val="00BD1BBD"/>
    <w:rsid w:val="00BD53D4"/>
    <w:rsid w:val="00BD7C8B"/>
    <w:rsid w:val="00BE1335"/>
    <w:rsid w:val="00BE1B4A"/>
    <w:rsid w:val="00BE1D29"/>
    <w:rsid w:val="00BE4819"/>
    <w:rsid w:val="00BF1357"/>
    <w:rsid w:val="00BF30E1"/>
    <w:rsid w:val="00C02404"/>
    <w:rsid w:val="00C028CA"/>
    <w:rsid w:val="00C043CD"/>
    <w:rsid w:val="00C043F2"/>
    <w:rsid w:val="00C05CF7"/>
    <w:rsid w:val="00C05F66"/>
    <w:rsid w:val="00C0601A"/>
    <w:rsid w:val="00C06210"/>
    <w:rsid w:val="00C06900"/>
    <w:rsid w:val="00C07BDE"/>
    <w:rsid w:val="00C07FF1"/>
    <w:rsid w:val="00C10ED7"/>
    <w:rsid w:val="00C11EC9"/>
    <w:rsid w:val="00C12050"/>
    <w:rsid w:val="00C12B41"/>
    <w:rsid w:val="00C13008"/>
    <w:rsid w:val="00C132EC"/>
    <w:rsid w:val="00C140CD"/>
    <w:rsid w:val="00C1525D"/>
    <w:rsid w:val="00C2054C"/>
    <w:rsid w:val="00C20EB9"/>
    <w:rsid w:val="00C21DF7"/>
    <w:rsid w:val="00C242D3"/>
    <w:rsid w:val="00C25756"/>
    <w:rsid w:val="00C258D4"/>
    <w:rsid w:val="00C261E4"/>
    <w:rsid w:val="00C30F1D"/>
    <w:rsid w:val="00C34182"/>
    <w:rsid w:val="00C3551C"/>
    <w:rsid w:val="00C356F1"/>
    <w:rsid w:val="00C40A26"/>
    <w:rsid w:val="00C40DE0"/>
    <w:rsid w:val="00C410F7"/>
    <w:rsid w:val="00C41B83"/>
    <w:rsid w:val="00C42F52"/>
    <w:rsid w:val="00C43A5E"/>
    <w:rsid w:val="00C555FB"/>
    <w:rsid w:val="00C62065"/>
    <w:rsid w:val="00C6398B"/>
    <w:rsid w:val="00C6412A"/>
    <w:rsid w:val="00C644CD"/>
    <w:rsid w:val="00C658B2"/>
    <w:rsid w:val="00C66EA6"/>
    <w:rsid w:val="00C711C8"/>
    <w:rsid w:val="00C7253B"/>
    <w:rsid w:val="00C74362"/>
    <w:rsid w:val="00C76EF1"/>
    <w:rsid w:val="00C80AEB"/>
    <w:rsid w:val="00C81A94"/>
    <w:rsid w:val="00C83774"/>
    <w:rsid w:val="00C874DD"/>
    <w:rsid w:val="00C87CF3"/>
    <w:rsid w:val="00C916B7"/>
    <w:rsid w:val="00C93516"/>
    <w:rsid w:val="00C93F41"/>
    <w:rsid w:val="00C97615"/>
    <w:rsid w:val="00CA0AA1"/>
    <w:rsid w:val="00CA3C69"/>
    <w:rsid w:val="00CA45A5"/>
    <w:rsid w:val="00CA592A"/>
    <w:rsid w:val="00CA6915"/>
    <w:rsid w:val="00CB107A"/>
    <w:rsid w:val="00CB5B47"/>
    <w:rsid w:val="00CB7A67"/>
    <w:rsid w:val="00CC3165"/>
    <w:rsid w:val="00CC3A33"/>
    <w:rsid w:val="00CC4704"/>
    <w:rsid w:val="00CC6844"/>
    <w:rsid w:val="00CC7520"/>
    <w:rsid w:val="00CC77D8"/>
    <w:rsid w:val="00CE549C"/>
    <w:rsid w:val="00CE79C7"/>
    <w:rsid w:val="00CF0052"/>
    <w:rsid w:val="00CF29C2"/>
    <w:rsid w:val="00CF3D30"/>
    <w:rsid w:val="00CF3E48"/>
    <w:rsid w:val="00CF4CA4"/>
    <w:rsid w:val="00CF7D82"/>
    <w:rsid w:val="00CF7F9F"/>
    <w:rsid w:val="00D04491"/>
    <w:rsid w:val="00D053FB"/>
    <w:rsid w:val="00D0799A"/>
    <w:rsid w:val="00D07D70"/>
    <w:rsid w:val="00D11886"/>
    <w:rsid w:val="00D12398"/>
    <w:rsid w:val="00D14832"/>
    <w:rsid w:val="00D256D0"/>
    <w:rsid w:val="00D25CC5"/>
    <w:rsid w:val="00D272F5"/>
    <w:rsid w:val="00D273B9"/>
    <w:rsid w:val="00D277D1"/>
    <w:rsid w:val="00D300E7"/>
    <w:rsid w:val="00D329CA"/>
    <w:rsid w:val="00D36B22"/>
    <w:rsid w:val="00D50496"/>
    <w:rsid w:val="00D51784"/>
    <w:rsid w:val="00D565E4"/>
    <w:rsid w:val="00D65123"/>
    <w:rsid w:val="00D72F8D"/>
    <w:rsid w:val="00D7358F"/>
    <w:rsid w:val="00D74970"/>
    <w:rsid w:val="00D76002"/>
    <w:rsid w:val="00D7661C"/>
    <w:rsid w:val="00D769D1"/>
    <w:rsid w:val="00D777AA"/>
    <w:rsid w:val="00D77BA3"/>
    <w:rsid w:val="00D80D26"/>
    <w:rsid w:val="00D85060"/>
    <w:rsid w:val="00D8550C"/>
    <w:rsid w:val="00D85DD1"/>
    <w:rsid w:val="00D903CD"/>
    <w:rsid w:val="00D92A30"/>
    <w:rsid w:val="00D93DAD"/>
    <w:rsid w:val="00D967B4"/>
    <w:rsid w:val="00D96D29"/>
    <w:rsid w:val="00DA01FB"/>
    <w:rsid w:val="00DA626E"/>
    <w:rsid w:val="00DA6275"/>
    <w:rsid w:val="00DB2270"/>
    <w:rsid w:val="00DB2998"/>
    <w:rsid w:val="00DB54AC"/>
    <w:rsid w:val="00DB68DB"/>
    <w:rsid w:val="00DB79E1"/>
    <w:rsid w:val="00DC18BB"/>
    <w:rsid w:val="00DC271E"/>
    <w:rsid w:val="00DC3BF0"/>
    <w:rsid w:val="00DC4FEB"/>
    <w:rsid w:val="00DC5CD3"/>
    <w:rsid w:val="00DC7AA3"/>
    <w:rsid w:val="00DD301D"/>
    <w:rsid w:val="00DD4108"/>
    <w:rsid w:val="00DE22A5"/>
    <w:rsid w:val="00DE2F40"/>
    <w:rsid w:val="00DE578A"/>
    <w:rsid w:val="00DF2048"/>
    <w:rsid w:val="00DF225D"/>
    <w:rsid w:val="00DF44B7"/>
    <w:rsid w:val="00DF5FCE"/>
    <w:rsid w:val="00E00620"/>
    <w:rsid w:val="00E01231"/>
    <w:rsid w:val="00E0571B"/>
    <w:rsid w:val="00E101DE"/>
    <w:rsid w:val="00E10740"/>
    <w:rsid w:val="00E13911"/>
    <w:rsid w:val="00E13C31"/>
    <w:rsid w:val="00E14CAB"/>
    <w:rsid w:val="00E16A28"/>
    <w:rsid w:val="00E2251D"/>
    <w:rsid w:val="00E26AB1"/>
    <w:rsid w:val="00E27DF6"/>
    <w:rsid w:val="00E300ED"/>
    <w:rsid w:val="00E32ED0"/>
    <w:rsid w:val="00E342A3"/>
    <w:rsid w:val="00E453DF"/>
    <w:rsid w:val="00E512ED"/>
    <w:rsid w:val="00E54C4A"/>
    <w:rsid w:val="00E554C3"/>
    <w:rsid w:val="00E6391E"/>
    <w:rsid w:val="00E65660"/>
    <w:rsid w:val="00E657BE"/>
    <w:rsid w:val="00E65EDC"/>
    <w:rsid w:val="00E71FDB"/>
    <w:rsid w:val="00E72A32"/>
    <w:rsid w:val="00E77939"/>
    <w:rsid w:val="00E80169"/>
    <w:rsid w:val="00E814D0"/>
    <w:rsid w:val="00E814D3"/>
    <w:rsid w:val="00E8676C"/>
    <w:rsid w:val="00E87080"/>
    <w:rsid w:val="00E87B02"/>
    <w:rsid w:val="00E90DB6"/>
    <w:rsid w:val="00E926F9"/>
    <w:rsid w:val="00E93337"/>
    <w:rsid w:val="00E95183"/>
    <w:rsid w:val="00E957F6"/>
    <w:rsid w:val="00E95DCE"/>
    <w:rsid w:val="00EA1354"/>
    <w:rsid w:val="00EA2AC5"/>
    <w:rsid w:val="00EB074F"/>
    <w:rsid w:val="00EB3F4C"/>
    <w:rsid w:val="00EB4BBB"/>
    <w:rsid w:val="00EC1738"/>
    <w:rsid w:val="00EC1A1C"/>
    <w:rsid w:val="00EC335A"/>
    <w:rsid w:val="00EC3C52"/>
    <w:rsid w:val="00EC7B69"/>
    <w:rsid w:val="00ED03FA"/>
    <w:rsid w:val="00EE2F97"/>
    <w:rsid w:val="00EE37D7"/>
    <w:rsid w:val="00EE57F6"/>
    <w:rsid w:val="00EE60F4"/>
    <w:rsid w:val="00EF099D"/>
    <w:rsid w:val="00EF2EBB"/>
    <w:rsid w:val="00EF563D"/>
    <w:rsid w:val="00EF5F11"/>
    <w:rsid w:val="00F04CDC"/>
    <w:rsid w:val="00F04E59"/>
    <w:rsid w:val="00F06416"/>
    <w:rsid w:val="00F1157B"/>
    <w:rsid w:val="00F14DD5"/>
    <w:rsid w:val="00F21A03"/>
    <w:rsid w:val="00F2522E"/>
    <w:rsid w:val="00F2677B"/>
    <w:rsid w:val="00F27BCD"/>
    <w:rsid w:val="00F35D6B"/>
    <w:rsid w:val="00F43E7D"/>
    <w:rsid w:val="00F4761F"/>
    <w:rsid w:val="00F47916"/>
    <w:rsid w:val="00F5056C"/>
    <w:rsid w:val="00F56704"/>
    <w:rsid w:val="00F615C3"/>
    <w:rsid w:val="00F63A5B"/>
    <w:rsid w:val="00F641F8"/>
    <w:rsid w:val="00F811BE"/>
    <w:rsid w:val="00F812D8"/>
    <w:rsid w:val="00F825EB"/>
    <w:rsid w:val="00F83791"/>
    <w:rsid w:val="00F846B5"/>
    <w:rsid w:val="00F87691"/>
    <w:rsid w:val="00F87885"/>
    <w:rsid w:val="00FA21DB"/>
    <w:rsid w:val="00FA506C"/>
    <w:rsid w:val="00FA53DA"/>
    <w:rsid w:val="00FA7393"/>
    <w:rsid w:val="00FB071D"/>
    <w:rsid w:val="00FC1A53"/>
    <w:rsid w:val="00FC3BAA"/>
    <w:rsid w:val="00FC3E78"/>
    <w:rsid w:val="00FD00EF"/>
    <w:rsid w:val="00FD09D6"/>
    <w:rsid w:val="00FD0BA8"/>
    <w:rsid w:val="00FD58BF"/>
    <w:rsid w:val="00FE21B7"/>
    <w:rsid w:val="00FE4101"/>
    <w:rsid w:val="00FE502B"/>
    <w:rsid w:val="00FF22DE"/>
    <w:rsid w:val="00FF2D56"/>
    <w:rsid w:val="00FF3111"/>
    <w:rsid w:val="00FF52A9"/>
    <w:rsid w:val="00FF77E2"/>
    <w:rsid w:val="01F1661B"/>
    <w:rsid w:val="020A8E78"/>
    <w:rsid w:val="02BA896C"/>
    <w:rsid w:val="033F86D0"/>
    <w:rsid w:val="05422F3A"/>
    <w:rsid w:val="07D1C28E"/>
    <w:rsid w:val="0D4DA5C6"/>
    <w:rsid w:val="0F49DA49"/>
    <w:rsid w:val="143943BF"/>
    <w:rsid w:val="1547182D"/>
    <w:rsid w:val="196A8E5C"/>
    <w:rsid w:val="1C875CE1"/>
    <w:rsid w:val="1C9C21FB"/>
    <w:rsid w:val="1D74E0C0"/>
    <w:rsid w:val="2484A7CE"/>
    <w:rsid w:val="26F90C58"/>
    <w:rsid w:val="30169838"/>
    <w:rsid w:val="327AC538"/>
    <w:rsid w:val="33F67939"/>
    <w:rsid w:val="35E8050C"/>
    <w:rsid w:val="3B094037"/>
    <w:rsid w:val="3C406256"/>
    <w:rsid w:val="3CBD3BDB"/>
    <w:rsid w:val="3F401FE3"/>
    <w:rsid w:val="40562ACB"/>
    <w:rsid w:val="417A1552"/>
    <w:rsid w:val="43C124E7"/>
    <w:rsid w:val="476EDD67"/>
    <w:rsid w:val="4A1A6637"/>
    <w:rsid w:val="4E3E12CE"/>
    <w:rsid w:val="50A4F517"/>
    <w:rsid w:val="55B9651E"/>
    <w:rsid w:val="55CD72B7"/>
    <w:rsid w:val="56EE0478"/>
    <w:rsid w:val="5AC75C98"/>
    <w:rsid w:val="5CAECFEA"/>
    <w:rsid w:val="5F67DBEC"/>
    <w:rsid w:val="613F8435"/>
    <w:rsid w:val="6188A9B1"/>
    <w:rsid w:val="6227B1C5"/>
    <w:rsid w:val="653AF972"/>
    <w:rsid w:val="684AA2BF"/>
    <w:rsid w:val="725FB62D"/>
    <w:rsid w:val="72F0E331"/>
    <w:rsid w:val="7AD0599D"/>
    <w:rsid w:val="7D174B02"/>
    <w:rsid w:val="7ED2E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A2BF"/>
  <w15:chartTrackingRefBased/>
  <w15:docId w15:val="{C1EB2B30-A15A-410B-BAA1-6C98B64735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2C0B"/>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8B3178"/>
    <w:pPr>
      <w:keepNext/>
      <w:keepLines/>
      <w:spacing w:before="240"/>
      <w:jc w:val="center"/>
      <w:outlineLvl w:val="0"/>
    </w:pPr>
    <w:rPr>
      <w:rFonts w:ascii="Oswald" w:hAnsi="Oswald" w:eastAsiaTheme="majorEastAsia" w:cstheme="majorBidi"/>
      <w:b/>
      <w:sz w:val="26"/>
      <w:szCs w:val="32"/>
      <w:u w:val="single"/>
    </w:rPr>
  </w:style>
  <w:style w:type="paragraph" w:styleId="Heading2">
    <w:name w:val="heading 2"/>
    <w:basedOn w:val="List2"/>
    <w:next w:val="Normal"/>
    <w:link w:val="Heading2Char"/>
    <w:uiPriority w:val="9"/>
    <w:unhideWhenUsed/>
    <w:qFormat/>
    <w:rsid w:val="005C0046"/>
    <w:pPr>
      <w:keepNext/>
      <w:keepLines/>
      <w:numPr>
        <w:numId w:val="36"/>
      </w:numPr>
      <w:tabs>
        <w:tab w:val="left" w:pos="720"/>
      </w:tabs>
      <w:spacing w:before="40"/>
      <w:outlineLvl w:val="1"/>
    </w:pPr>
    <w:rPr>
      <w:rFonts w:eastAsiaTheme="majorEastAsia" w:cstheme="majorBidi"/>
      <w:b/>
      <w:color w:val="000000" w:themeColor="text1"/>
      <w:szCs w:val="26"/>
    </w:rPr>
  </w:style>
  <w:style w:type="paragraph" w:styleId="Heading3">
    <w:name w:val="heading 3"/>
    <w:basedOn w:val="List3"/>
    <w:next w:val="Normal"/>
    <w:link w:val="Heading3Char"/>
    <w:uiPriority w:val="9"/>
    <w:unhideWhenUsed/>
    <w:qFormat/>
    <w:rsid w:val="002E7B87"/>
    <w:pPr>
      <w:keepNext/>
      <w:keepLines/>
      <w:numPr>
        <w:numId w:val="37"/>
      </w:numPr>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2E7B87"/>
    <w:pPr>
      <w:keepNext/>
      <w:keepLines/>
      <w:numPr>
        <w:numId w:val="39"/>
      </w:numPr>
      <w:spacing w:before="40"/>
      <w:ind w:left="1800"/>
      <w:outlineLvl w:val="3"/>
    </w:pPr>
    <w:rPr>
      <w:rFonts w:eastAsiaTheme="majorEastAsia" w:cstheme="majorBidi"/>
      <w:b/>
      <w:iCs/>
      <w:color w:val="000000" w:themeColor="text1"/>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link w:val="ListParagraphChar"/>
    <w:uiPriority w:val="34"/>
    <w:qFormat/>
    <w:rsid w:val="00EC1738"/>
    <w:pPr>
      <w:spacing w:after="160" w:line="259" w:lineRule="auto"/>
      <w:ind w:left="720"/>
      <w:contextualSpacing/>
    </w:pPr>
    <w:rPr>
      <w:rFonts w:eastAsiaTheme="minorHAnsi" w:cstheme="minorBidi"/>
      <w:b/>
      <w:szCs w:val="22"/>
    </w:rPr>
  </w:style>
  <w:style w:type="paragraph" w:styleId="CommentText">
    <w:name w:val="annotation text"/>
    <w:basedOn w:val="Normal"/>
    <w:link w:val="CommentTextChar"/>
    <w:uiPriority w:val="99"/>
    <w:unhideWhenUsed/>
    <w:pPr>
      <w:spacing w:after="160"/>
    </w:pPr>
    <w:rPr>
      <w:rFonts w:asciiTheme="minorHAnsi" w:hAnsiTheme="minorHAnsi" w:eastAsiaTheme="minorHAnsi" w:cstheme="minorBidi"/>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6210"/>
    <w:rPr>
      <w:rFonts w:eastAsiaTheme="minorHAnsi"/>
      <w:sz w:val="18"/>
      <w:szCs w:val="18"/>
    </w:rPr>
  </w:style>
  <w:style w:type="character" w:styleId="BalloonTextChar" w:customStyle="1">
    <w:name w:val="Balloon Text Char"/>
    <w:basedOn w:val="DefaultParagraphFont"/>
    <w:link w:val="BalloonText"/>
    <w:uiPriority w:val="99"/>
    <w:semiHidden/>
    <w:rsid w:val="00C06210"/>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193F25"/>
    <w:rPr>
      <w:b/>
      <w:bCs/>
    </w:rPr>
  </w:style>
  <w:style w:type="character" w:styleId="CommentSubjectChar" w:customStyle="1">
    <w:name w:val="Comment Subject Char"/>
    <w:basedOn w:val="CommentTextChar"/>
    <w:link w:val="CommentSubject"/>
    <w:uiPriority w:val="99"/>
    <w:semiHidden/>
    <w:rsid w:val="00193F25"/>
    <w:rPr>
      <w:b/>
      <w:bCs/>
      <w:sz w:val="20"/>
      <w:szCs w:val="20"/>
    </w:rPr>
  </w:style>
  <w:style w:type="paragraph" w:styleId="Header">
    <w:name w:val="header"/>
    <w:basedOn w:val="Normal"/>
    <w:link w:val="HeaderChar"/>
    <w:uiPriority w:val="99"/>
    <w:unhideWhenUsed/>
    <w:rsid w:val="00193F25"/>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193F25"/>
  </w:style>
  <w:style w:type="paragraph" w:styleId="Footer">
    <w:name w:val="footer"/>
    <w:basedOn w:val="Normal"/>
    <w:link w:val="FooterChar"/>
    <w:uiPriority w:val="99"/>
    <w:unhideWhenUsed/>
    <w:rsid w:val="00193F25"/>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193F25"/>
  </w:style>
  <w:style w:type="paragraph" w:styleId="Revision">
    <w:name w:val="Revision"/>
    <w:hidden/>
    <w:uiPriority w:val="99"/>
    <w:semiHidden/>
    <w:rsid w:val="00BC6016"/>
    <w:pPr>
      <w:spacing w:after="0" w:line="240" w:lineRule="auto"/>
    </w:pPr>
  </w:style>
  <w:style w:type="character" w:styleId="FootnoteTextChar" w:customStyle="1">
    <w:name w:val="Footnote Text Char"/>
    <w:basedOn w:val="DefaultParagraphFont"/>
    <w:link w:val="FootnoteText"/>
    <w:uiPriority w:val="99"/>
    <w:rsid w:val="00703B12"/>
    <w:rPr>
      <w:sz w:val="20"/>
      <w:szCs w:val="20"/>
    </w:rPr>
  </w:style>
  <w:style w:type="paragraph" w:styleId="FootnoteText">
    <w:name w:val="footnote text"/>
    <w:basedOn w:val="Normal"/>
    <w:link w:val="FootnoteTextChar"/>
    <w:uiPriority w:val="99"/>
    <w:unhideWhenUsed/>
    <w:rsid w:val="00703B12"/>
    <w:rPr>
      <w:rFonts w:asciiTheme="minorHAnsi" w:hAnsiTheme="minorHAnsi" w:eastAsiaTheme="minorHAnsi" w:cstheme="minorBidi"/>
      <w:sz w:val="20"/>
      <w:szCs w:val="20"/>
    </w:rPr>
  </w:style>
  <w:style w:type="character" w:styleId="FootnoteTextChar1" w:customStyle="1">
    <w:name w:val="Footnote Text Char1"/>
    <w:basedOn w:val="DefaultParagraphFont"/>
    <w:uiPriority w:val="99"/>
    <w:semiHidden/>
    <w:rsid w:val="00703B12"/>
    <w:rPr>
      <w:sz w:val="20"/>
      <w:szCs w:val="20"/>
    </w:rPr>
  </w:style>
  <w:style w:type="character" w:styleId="PageNumber">
    <w:name w:val="page number"/>
    <w:basedOn w:val="DefaultParagraphFont"/>
    <w:uiPriority w:val="99"/>
    <w:semiHidden/>
    <w:unhideWhenUsed/>
    <w:rsid w:val="00703B12"/>
  </w:style>
  <w:style w:type="character" w:styleId="num" w:customStyle="1">
    <w:name w:val="num"/>
    <w:basedOn w:val="DefaultParagraphFont"/>
    <w:rsid w:val="009B6E5A"/>
  </w:style>
  <w:style w:type="character" w:styleId="chapeau" w:customStyle="1">
    <w:name w:val="chapeau"/>
    <w:basedOn w:val="DefaultParagraphFont"/>
    <w:rsid w:val="009B6E5A"/>
  </w:style>
  <w:style w:type="character" w:styleId="Hyperlink">
    <w:name w:val="Hyperlink"/>
    <w:basedOn w:val="DefaultParagraphFont"/>
    <w:uiPriority w:val="99"/>
    <w:unhideWhenUsed/>
    <w:rsid w:val="009B6E5A"/>
    <w:rPr>
      <w:color w:val="0000FF"/>
      <w:u w:val="single"/>
    </w:rPr>
  </w:style>
  <w:style w:type="character" w:styleId="apple-converted-space" w:customStyle="1">
    <w:name w:val="apple-converted-space"/>
    <w:basedOn w:val="DefaultParagraphFont"/>
    <w:rsid w:val="009B6E5A"/>
  </w:style>
  <w:style w:type="character" w:styleId="FollowedHyperlink">
    <w:name w:val="FollowedHyperlink"/>
    <w:basedOn w:val="DefaultParagraphFont"/>
    <w:uiPriority w:val="99"/>
    <w:semiHidden/>
    <w:unhideWhenUsed/>
    <w:rsid w:val="009B6E5A"/>
    <w:rPr>
      <w:color w:val="954F72" w:themeColor="followedHyperlink"/>
      <w:u w:val="single"/>
    </w:rPr>
  </w:style>
  <w:style w:type="character" w:styleId="Emphasis">
    <w:name w:val="Emphasis"/>
    <w:basedOn w:val="DefaultParagraphFont"/>
    <w:uiPriority w:val="20"/>
    <w:qFormat/>
    <w:rsid w:val="00DB79E1"/>
    <w:rPr>
      <w:i/>
      <w:iCs/>
    </w:rPr>
  </w:style>
  <w:style w:type="character" w:styleId="cosearchterm" w:customStyle="1">
    <w:name w:val="co_searchterm"/>
    <w:basedOn w:val="DefaultParagraphFont"/>
    <w:rsid w:val="00DB79E1"/>
  </w:style>
  <w:style w:type="character" w:styleId="UnresolvedMention">
    <w:name w:val="Unresolved Mention"/>
    <w:basedOn w:val="DefaultParagraphFont"/>
    <w:uiPriority w:val="99"/>
    <w:semiHidden/>
    <w:unhideWhenUsed/>
    <w:rsid w:val="001A2631"/>
    <w:rPr>
      <w:color w:val="605E5C"/>
      <w:shd w:val="clear" w:color="auto" w:fill="E1DFDD"/>
    </w:rPr>
  </w:style>
  <w:style w:type="numbering" w:styleId="CurrentList1" w:customStyle="1">
    <w:name w:val="Current List1"/>
    <w:uiPriority w:val="99"/>
    <w:rsid w:val="007F26B8"/>
    <w:pPr>
      <w:numPr>
        <w:numId w:val="12"/>
      </w:numPr>
    </w:pPr>
  </w:style>
  <w:style w:type="character" w:styleId="coinlinekeyciteflag" w:customStyle="1">
    <w:name w:val="co_inlinekeyciteflag"/>
    <w:basedOn w:val="DefaultParagraphFont"/>
    <w:rsid w:val="004B54A4"/>
  </w:style>
  <w:style w:type="character" w:styleId="costarpage" w:customStyle="1">
    <w:name w:val="co_starpage"/>
    <w:basedOn w:val="DefaultParagraphFont"/>
    <w:rsid w:val="004B54A4"/>
  </w:style>
  <w:style w:type="character" w:styleId="ssrfcpassagedeactivated" w:customStyle="1">
    <w:name w:val="ss_rfcpassage_deactivated"/>
    <w:basedOn w:val="DefaultParagraphFont"/>
    <w:rsid w:val="00A906F2"/>
  </w:style>
  <w:style w:type="character" w:styleId="cosmallcaps" w:customStyle="1">
    <w:name w:val="co_smallcaps"/>
    <w:basedOn w:val="DefaultParagraphFont"/>
    <w:rsid w:val="00F2522E"/>
  </w:style>
  <w:style w:type="character" w:styleId="Heading2Char" w:customStyle="1">
    <w:name w:val="Heading 2 Char"/>
    <w:basedOn w:val="DefaultParagraphFont"/>
    <w:link w:val="Heading2"/>
    <w:uiPriority w:val="9"/>
    <w:rsid w:val="005C0046"/>
    <w:rPr>
      <w:rFonts w:ascii="Times New Roman" w:hAnsi="Times New Roman" w:eastAsiaTheme="majorEastAsia" w:cstheme="majorBidi"/>
      <w:b/>
      <w:color w:val="000000" w:themeColor="text1"/>
      <w:sz w:val="24"/>
      <w:szCs w:val="26"/>
    </w:rPr>
  </w:style>
  <w:style w:type="paragraph" w:styleId="TOC1">
    <w:name w:val="toc 1"/>
    <w:basedOn w:val="Normal"/>
    <w:next w:val="Normal"/>
    <w:autoRedefine/>
    <w:uiPriority w:val="39"/>
    <w:unhideWhenUsed/>
    <w:rsid w:val="00583B12"/>
    <w:pPr>
      <w:spacing w:after="100"/>
    </w:pPr>
    <w:rPr>
      <w:rFonts w:ascii="Oswald" w:hAnsi="Oswald"/>
      <w:b/>
    </w:rPr>
  </w:style>
  <w:style w:type="character" w:styleId="Heading1Char" w:customStyle="1">
    <w:name w:val="Heading 1 Char"/>
    <w:basedOn w:val="DefaultParagraphFont"/>
    <w:link w:val="Heading1"/>
    <w:uiPriority w:val="9"/>
    <w:rsid w:val="008B3178"/>
    <w:rPr>
      <w:rFonts w:ascii="Oswald" w:hAnsi="Oswald" w:eastAsiaTheme="majorEastAsia" w:cstheme="majorBidi"/>
      <w:b/>
      <w:sz w:val="26"/>
      <w:szCs w:val="32"/>
      <w:u w:val="single"/>
    </w:rPr>
  </w:style>
  <w:style w:type="paragraph" w:styleId="Style1-Heading3" w:customStyle="1">
    <w:name w:val="Style1 - Heading 3"/>
    <w:basedOn w:val="Heading3"/>
    <w:next w:val="Heading3"/>
    <w:qFormat/>
    <w:rsid w:val="00EC1738"/>
    <w:pPr>
      <w:numPr>
        <w:numId w:val="5"/>
      </w:numPr>
      <w:ind w:left="1440"/>
    </w:pPr>
    <w:rPr>
      <w:rFonts w:eastAsia="Times New Roman" w:cs="Times New Roman"/>
      <w:b w:val="0"/>
      <w:bCs/>
    </w:rPr>
  </w:style>
  <w:style w:type="character" w:styleId="ListParagraphChar" w:customStyle="1">
    <w:name w:val="List Paragraph Char"/>
    <w:basedOn w:val="DefaultParagraphFont"/>
    <w:link w:val="ListParagraph"/>
    <w:uiPriority w:val="34"/>
    <w:rsid w:val="00A65023"/>
    <w:rPr>
      <w:rFonts w:ascii="Times New Roman" w:hAnsi="Times New Roman"/>
      <w:b/>
      <w:sz w:val="24"/>
    </w:rPr>
  </w:style>
  <w:style w:type="character" w:styleId="Heading3Char" w:customStyle="1">
    <w:name w:val="Heading 3 Char"/>
    <w:basedOn w:val="DefaultParagraphFont"/>
    <w:link w:val="Heading3"/>
    <w:uiPriority w:val="9"/>
    <w:rsid w:val="005C0046"/>
    <w:rPr>
      <w:rFonts w:ascii="Times New Roman" w:hAnsi="Times New Roman" w:eastAsiaTheme="majorEastAsia" w:cstheme="majorBidi"/>
      <w:b/>
      <w:color w:val="000000" w:themeColor="text1"/>
      <w:sz w:val="24"/>
      <w:szCs w:val="24"/>
    </w:rPr>
  </w:style>
  <w:style w:type="character" w:styleId="Heading4Char" w:customStyle="1">
    <w:name w:val="Heading 4 Char"/>
    <w:basedOn w:val="DefaultParagraphFont"/>
    <w:link w:val="Heading4"/>
    <w:uiPriority w:val="9"/>
    <w:rsid w:val="002E7B87"/>
    <w:rPr>
      <w:rFonts w:ascii="Times New Roman" w:hAnsi="Times New Roman" w:eastAsiaTheme="majorEastAsia" w:cstheme="majorBidi"/>
      <w:b/>
      <w:iCs/>
      <w:color w:val="000000" w:themeColor="text1"/>
      <w:sz w:val="24"/>
      <w:szCs w:val="24"/>
      <w:u w:val="single"/>
    </w:rPr>
  </w:style>
  <w:style w:type="paragraph" w:styleId="List3">
    <w:name w:val="List 3"/>
    <w:basedOn w:val="Normal"/>
    <w:uiPriority w:val="99"/>
    <w:semiHidden/>
    <w:unhideWhenUsed/>
    <w:rsid w:val="005C0046"/>
    <w:pPr>
      <w:ind w:left="1080" w:hanging="360"/>
      <w:contextualSpacing/>
    </w:pPr>
  </w:style>
  <w:style w:type="paragraph" w:styleId="List2">
    <w:name w:val="List 2"/>
    <w:basedOn w:val="Normal"/>
    <w:uiPriority w:val="99"/>
    <w:semiHidden/>
    <w:unhideWhenUsed/>
    <w:rsid w:val="005C0046"/>
    <w:pPr>
      <w:ind w:left="720" w:hanging="360"/>
      <w:contextualSpacing/>
    </w:pPr>
  </w:style>
  <w:style w:type="paragraph" w:styleId="TOCHeading">
    <w:name w:val="TOC Heading"/>
    <w:basedOn w:val="Heading1"/>
    <w:next w:val="Normal"/>
    <w:uiPriority w:val="39"/>
    <w:unhideWhenUsed/>
    <w:qFormat/>
    <w:rsid w:val="00DF5FCE"/>
    <w:pPr>
      <w:spacing w:line="259" w:lineRule="auto"/>
      <w:jc w:val="left"/>
      <w:outlineLvl w:val="9"/>
    </w:pPr>
    <w:rPr>
      <w:rFonts w:asciiTheme="majorHAnsi" w:hAnsiTheme="majorHAnsi"/>
      <w:b w:val="0"/>
      <w:color w:val="2F5496" w:themeColor="accent1" w:themeShade="BF"/>
      <w:sz w:val="32"/>
      <w:u w:val="none"/>
    </w:rPr>
  </w:style>
  <w:style w:type="paragraph" w:styleId="TOC2">
    <w:name w:val="toc 2"/>
    <w:basedOn w:val="Normal"/>
    <w:next w:val="Normal"/>
    <w:autoRedefine/>
    <w:uiPriority w:val="39"/>
    <w:unhideWhenUsed/>
    <w:rsid w:val="00DF5FCE"/>
    <w:pPr>
      <w:spacing w:after="100"/>
      <w:ind w:left="240"/>
    </w:pPr>
  </w:style>
  <w:style w:type="paragraph" w:styleId="TOC3">
    <w:name w:val="toc 3"/>
    <w:basedOn w:val="Normal"/>
    <w:next w:val="Normal"/>
    <w:autoRedefine/>
    <w:uiPriority w:val="39"/>
    <w:unhideWhenUsed/>
    <w:rsid w:val="00DF5FCE"/>
    <w:pPr>
      <w:spacing w:after="100"/>
      <w:ind w:left="480"/>
    </w:pPr>
  </w:style>
  <w:style w:type="paragraph" w:styleId="TOC4">
    <w:name w:val="toc 4"/>
    <w:basedOn w:val="Normal"/>
    <w:next w:val="Normal"/>
    <w:autoRedefine/>
    <w:uiPriority w:val="39"/>
    <w:unhideWhenUsed/>
    <w:rsid w:val="00583B12"/>
    <w:pPr>
      <w:spacing w:after="100"/>
      <w:ind w:left="720"/>
    </w:pPr>
  </w:style>
  <w:style w:type="table" w:styleId="TableGrid">
    <w:name w:val="Table Grid"/>
    <w:basedOn w:val="TableNormal"/>
    <w:uiPriority w:val="39"/>
    <w:rsid w:val="00E54C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90011">
      <w:bodyDiv w:val="1"/>
      <w:marLeft w:val="0"/>
      <w:marRight w:val="0"/>
      <w:marTop w:val="0"/>
      <w:marBottom w:val="0"/>
      <w:divBdr>
        <w:top w:val="none" w:sz="0" w:space="0" w:color="auto"/>
        <w:left w:val="none" w:sz="0" w:space="0" w:color="auto"/>
        <w:bottom w:val="none" w:sz="0" w:space="0" w:color="auto"/>
        <w:right w:val="none" w:sz="0" w:space="0" w:color="auto"/>
      </w:divBdr>
    </w:div>
    <w:div w:id="293022844">
      <w:bodyDiv w:val="1"/>
      <w:marLeft w:val="0"/>
      <w:marRight w:val="0"/>
      <w:marTop w:val="0"/>
      <w:marBottom w:val="0"/>
      <w:divBdr>
        <w:top w:val="none" w:sz="0" w:space="0" w:color="auto"/>
        <w:left w:val="none" w:sz="0" w:space="0" w:color="auto"/>
        <w:bottom w:val="none" w:sz="0" w:space="0" w:color="auto"/>
        <w:right w:val="none" w:sz="0" w:space="0" w:color="auto"/>
      </w:divBdr>
    </w:div>
    <w:div w:id="406196286">
      <w:bodyDiv w:val="1"/>
      <w:marLeft w:val="0"/>
      <w:marRight w:val="0"/>
      <w:marTop w:val="0"/>
      <w:marBottom w:val="0"/>
      <w:divBdr>
        <w:top w:val="none" w:sz="0" w:space="0" w:color="auto"/>
        <w:left w:val="none" w:sz="0" w:space="0" w:color="auto"/>
        <w:bottom w:val="none" w:sz="0" w:space="0" w:color="auto"/>
        <w:right w:val="none" w:sz="0" w:space="0" w:color="auto"/>
      </w:divBdr>
      <w:divsChild>
        <w:div w:id="2074572509">
          <w:marLeft w:val="0"/>
          <w:marRight w:val="0"/>
          <w:marTop w:val="0"/>
          <w:marBottom w:val="0"/>
          <w:divBdr>
            <w:top w:val="none" w:sz="0" w:space="0" w:color="auto"/>
            <w:left w:val="none" w:sz="0" w:space="0" w:color="auto"/>
            <w:bottom w:val="none" w:sz="0" w:space="0" w:color="auto"/>
            <w:right w:val="none" w:sz="0" w:space="0" w:color="auto"/>
          </w:divBdr>
        </w:div>
      </w:divsChild>
    </w:div>
    <w:div w:id="423916478">
      <w:bodyDiv w:val="1"/>
      <w:marLeft w:val="0"/>
      <w:marRight w:val="0"/>
      <w:marTop w:val="0"/>
      <w:marBottom w:val="0"/>
      <w:divBdr>
        <w:top w:val="none" w:sz="0" w:space="0" w:color="auto"/>
        <w:left w:val="none" w:sz="0" w:space="0" w:color="auto"/>
        <w:bottom w:val="none" w:sz="0" w:space="0" w:color="auto"/>
        <w:right w:val="none" w:sz="0" w:space="0" w:color="auto"/>
      </w:divBdr>
    </w:div>
    <w:div w:id="471093792">
      <w:bodyDiv w:val="1"/>
      <w:marLeft w:val="0"/>
      <w:marRight w:val="0"/>
      <w:marTop w:val="0"/>
      <w:marBottom w:val="0"/>
      <w:divBdr>
        <w:top w:val="none" w:sz="0" w:space="0" w:color="auto"/>
        <w:left w:val="none" w:sz="0" w:space="0" w:color="auto"/>
        <w:bottom w:val="none" w:sz="0" w:space="0" w:color="auto"/>
        <w:right w:val="none" w:sz="0" w:space="0" w:color="auto"/>
      </w:divBdr>
    </w:div>
    <w:div w:id="560677542">
      <w:bodyDiv w:val="1"/>
      <w:marLeft w:val="0"/>
      <w:marRight w:val="0"/>
      <w:marTop w:val="0"/>
      <w:marBottom w:val="0"/>
      <w:divBdr>
        <w:top w:val="none" w:sz="0" w:space="0" w:color="auto"/>
        <w:left w:val="none" w:sz="0" w:space="0" w:color="auto"/>
        <w:bottom w:val="none" w:sz="0" w:space="0" w:color="auto"/>
        <w:right w:val="none" w:sz="0" w:space="0" w:color="auto"/>
      </w:divBdr>
    </w:div>
    <w:div w:id="682438718">
      <w:bodyDiv w:val="1"/>
      <w:marLeft w:val="0"/>
      <w:marRight w:val="0"/>
      <w:marTop w:val="0"/>
      <w:marBottom w:val="0"/>
      <w:divBdr>
        <w:top w:val="none" w:sz="0" w:space="0" w:color="auto"/>
        <w:left w:val="none" w:sz="0" w:space="0" w:color="auto"/>
        <w:bottom w:val="none" w:sz="0" w:space="0" w:color="auto"/>
        <w:right w:val="none" w:sz="0" w:space="0" w:color="auto"/>
      </w:divBdr>
    </w:div>
    <w:div w:id="684017565">
      <w:bodyDiv w:val="1"/>
      <w:marLeft w:val="0"/>
      <w:marRight w:val="0"/>
      <w:marTop w:val="0"/>
      <w:marBottom w:val="0"/>
      <w:divBdr>
        <w:top w:val="none" w:sz="0" w:space="0" w:color="auto"/>
        <w:left w:val="none" w:sz="0" w:space="0" w:color="auto"/>
        <w:bottom w:val="none" w:sz="0" w:space="0" w:color="auto"/>
        <w:right w:val="none" w:sz="0" w:space="0" w:color="auto"/>
      </w:divBdr>
    </w:div>
    <w:div w:id="758058858">
      <w:bodyDiv w:val="1"/>
      <w:marLeft w:val="0"/>
      <w:marRight w:val="0"/>
      <w:marTop w:val="0"/>
      <w:marBottom w:val="0"/>
      <w:divBdr>
        <w:top w:val="none" w:sz="0" w:space="0" w:color="auto"/>
        <w:left w:val="none" w:sz="0" w:space="0" w:color="auto"/>
        <w:bottom w:val="none" w:sz="0" w:space="0" w:color="auto"/>
        <w:right w:val="none" w:sz="0" w:space="0" w:color="auto"/>
      </w:divBdr>
    </w:div>
    <w:div w:id="870844743">
      <w:bodyDiv w:val="1"/>
      <w:marLeft w:val="0"/>
      <w:marRight w:val="0"/>
      <w:marTop w:val="0"/>
      <w:marBottom w:val="0"/>
      <w:divBdr>
        <w:top w:val="none" w:sz="0" w:space="0" w:color="auto"/>
        <w:left w:val="none" w:sz="0" w:space="0" w:color="auto"/>
        <w:bottom w:val="none" w:sz="0" w:space="0" w:color="auto"/>
        <w:right w:val="none" w:sz="0" w:space="0" w:color="auto"/>
      </w:divBdr>
    </w:div>
    <w:div w:id="1076898941">
      <w:bodyDiv w:val="1"/>
      <w:marLeft w:val="0"/>
      <w:marRight w:val="0"/>
      <w:marTop w:val="0"/>
      <w:marBottom w:val="0"/>
      <w:divBdr>
        <w:top w:val="none" w:sz="0" w:space="0" w:color="auto"/>
        <w:left w:val="none" w:sz="0" w:space="0" w:color="auto"/>
        <w:bottom w:val="none" w:sz="0" w:space="0" w:color="auto"/>
        <w:right w:val="none" w:sz="0" w:space="0" w:color="auto"/>
      </w:divBdr>
    </w:div>
    <w:div w:id="1089617333">
      <w:bodyDiv w:val="1"/>
      <w:marLeft w:val="0"/>
      <w:marRight w:val="0"/>
      <w:marTop w:val="0"/>
      <w:marBottom w:val="0"/>
      <w:divBdr>
        <w:top w:val="none" w:sz="0" w:space="0" w:color="auto"/>
        <w:left w:val="none" w:sz="0" w:space="0" w:color="auto"/>
        <w:bottom w:val="none" w:sz="0" w:space="0" w:color="auto"/>
        <w:right w:val="none" w:sz="0" w:space="0" w:color="auto"/>
      </w:divBdr>
    </w:div>
    <w:div w:id="1120298259">
      <w:bodyDiv w:val="1"/>
      <w:marLeft w:val="0"/>
      <w:marRight w:val="0"/>
      <w:marTop w:val="0"/>
      <w:marBottom w:val="0"/>
      <w:divBdr>
        <w:top w:val="none" w:sz="0" w:space="0" w:color="auto"/>
        <w:left w:val="none" w:sz="0" w:space="0" w:color="auto"/>
        <w:bottom w:val="none" w:sz="0" w:space="0" w:color="auto"/>
        <w:right w:val="none" w:sz="0" w:space="0" w:color="auto"/>
      </w:divBdr>
    </w:div>
    <w:div w:id="1187449739">
      <w:bodyDiv w:val="1"/>
      <w:marLeft w:val="0"/>
      <w:marRight w:val="0"/>
      <w:marTop w:val="0"/>
      <w:marBottom w:val="0"/>
      <w:divBdr>
        <w:top w:val="none" w:sz="0" w:space="0" w:color="auto"/>
        <w:left w:val="none" w:sz="0" w:space="0" w:color="auto"/>
        <w:bottom w:val="none" w:sz="0" w:space="0" w:color="auto"/>
        <w:right w:val="none" w:sz="0" w:space="0" w:color="auto"/>
      </w:divBdr>
      <w:divsChild>
        <w:div w:id="1559323783">
          <w:marLeft w:val="0"/>
          <w:marRight w:val="0"/>
          <w:marTop w:val="0"/>
          <w:marBottom w:val="0"/>
          <w:divBdr>
            <w:top w:val="none" w:sz="0" w:space="0" w:color="auto"/>
            <w:left w:val="none" w:sz="0" w:space="0" w:color="auto"/>
            <w:bottom w:val="none" w:sz="0" w:space="0" w:color="auto"/>
            <w:right w:val="none" w:sz="0" w:space="0" w:color="auto"/>
          </w:divBdr>
          <w:divsChild>
            <w:div w:id="1358694546">
              <w:marLeft w:val="0"/>
              <w:marRight w:val="0"/>
              <w:marTop w:val="0"/>
              <w:marBottom w:val="0"/>
              <w:divBdr>
                <w:top w:val="none" w:sz="0" w:space="0" w:color="auto"/>
                <w:left w:val="none" w:sz="0" w:space="0" w:color="auto"/>
                <w:bottom w:val="none" w:sz="0" w:space="0" w:color="auto"/>
                <w:right w:val="none" w:sz="0" w:space="0" w:color="auto"/>
              </w:divBdr>
            </w:div>
          </w:divsChild>
        </w:div>
        <w:div w:id="1952515605">
          <w:marLeft w:val="0"/>
          <w:marRight w:val="0"/>
          <w:marTop w:val="0"/>
          <w:marBottom w:val="0"/>
          <w:divBdr>
            <w:top w:val="none" w:sz="0" w:space="0" w:color="auto"/>
            <w:left w:val="none" w:sz="0" w:space="0" w:color="auto"/>
            <w:bottom w:val="none" w:sz="0" w:space="0" w:color="auto"/>
            <w:right w:val="none" w:sz="0" w:space="0" w:color="auto"/>
          </w:divBdr>
          <w:divsChild>
            <w:div w:id="904530808">
              <w:marLeft w:val="0"/>
              <w:marRight w:val="0"/>
              <w:marTop w:val="0"/>
              <w:marBottom w:val="0"/>
              <w:divBdr>
                <w:top w:val="none" w:sz="0" w:space="0" w:color="auto"/>
                <w:left w:val="none" w:sz="0" w:space="0" w:color="auto"/>
                <w:bottom w:val="none" w:sz="0" w:space="0" w:color="auto"/>
                <w:right w:val="none" w:sz="0" w:space="0" w:color="auto"/>
              </w:divBdr>
            </w:div>
          </w:divsChild>
        </w:div>
        <w:div w:id="1278218493">
          <w:marLeft w:val="0"/>
          <w:marRight w:val="0"/>
          <w:marTop w:val="0"/>
          <w:marBottom w:val="0"/>
          <w:divBdr>
            <w:top w:val="none" w:sz="0" w:space="0" w:color="auto"/>
            <w:left w:val="none" w:sz="0" w:space="0" w:color="auto"/>
            <w:bottom w:val="none" w:sz="0" w:space="0" w:color="auto"/>
            <w:right w:val="none" w:sz="0" w:space="0" w:color="auto"/>
          </w:divBdr>
          <w:divsChild>
            <w:div w:id="17981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2981">
      <w:bodyDiv w:val="1"/>
      <w:marLeft w:val="0"/>
      <w:marRight w:val="0"/>
      <w:marTop w:val="0"/>
      <w:marBottom w:val="0"/>
      <w:divBdr>
        <w:top w:val="none" w:sz="0" w:space="0" w:color="auto"/>
        <w:left w:val="none" w:sz="0" w:space="0" w:color="auto"/>
        <w:bottom w:val="none" w:sz="0" w:space="0" w:color="auto"/>
        <w:right w:val="none" w:sz="0" w:space="0" w:color="auto"/>
      </w:divBdr>
    </w:div>
    <w:div w:id="1377198839">
      <w:bodyDiv w:val="1"/>
      <w:marLeft w:val="0"/>
      <w:marRight w:val="0"/>
      <w:marTop w:val="0"/>
      <w:marBottom w:val="0"/>
      <w:divBdr>
        <w:top w:val="none" w:sz="0" w:space="0" w:color="auto"/>
        <w:left w:val="none" w:sz="0" w:space="0" w:color="auto"/>
        <w:bottom w:val="none" w:sz="0" w:space="0" w:color="auto"/>
        <w:right w:val="none" w:sz="0" w:space="0" w:color="auto"/>
      </w:divBdr>
      <w:divsChild>
        <w:div w:id="982001916">
          <w:marLeft w:val="0"/>
          <w:marRight w:val="0"/>
          <w:marTop w:val="0"/>
          <w:marBottom w:val="0"/>
          <w:divBdr>
            <w:top w:val="none" w:sz="0" w:space="0" w:color="auto"/>
            <w:left w:val="none" w:sz="0" w:space="0" w:color="auto"/>
            <w:bottom w:val="none" w:sz="0" w:space="0" w:color="auto"/>
            <w:right w:val="none" w:sz="0" w:space="0" w:color="auto"/>
          </w:divBdr>
        </w:div>
      </w:divsChild>
    </w:div>
    <w:div w:id="1457867486">
      <w:bodyDiv w:val="1"/>
      <w:marLeft w:val="0"/>
      <w:marRight w:val="0"/>
      <w:marTop w:val="0"/>
      <w:marBottom w:val="0"/>
      <w:divBdr>
        <w:top w:val="none" w:sz="0" w:space="0" w:color="auto"/>
        <w:left w:val="none" w:sz="0" w:space="0" w:color="auto"/>
        <w:bottom w:val="none" w:sz="0" w:space="0" w:color="auto"/>
        <w:right w:val="none" w:sz="0" w:space="0" w:color="auto"/>
      </w:divBdr>
      <w:divsChild>
        <w:div w:id="935403798">
          <w:marLeft w:val="0"/>
          <w:marRight w:val="0"/>
          <w:marTop w:val="0"/>
          <w:marBottom w:val="0"/>
          <w:divBdr>
            <w:top w:val="none" w:sz="0" w:space="0" w:color="auto"/>
            <w:left w:val="none" w:sz="0" w:space="0" w:color="auto"/>
            <w:bottom w:val="none" w:sz="0" w:space="0" w:color="auto"/>
            <w:right w:val="none" w:sz="0" w:space="0" w:color="auto"/>
          </w:divBdr>
        </w:div>
      </w:divsChild>
    </w:div>
    <w:div w:id="1459450080">
      <w:bodyDiv w:val="1"/>
      <w:marLeft w:val="0"/>
      <w:marRight w:val="0"/>
      <w:marTop w:val="0"/>
      <w:marBottom w:val="0"/>
      <w:divBdr>
        <w:top w:val="none" w:sz="0" w:space="0" w:color="auto"/>
        <w:left w:val="none" w:sz="0" w:space="0" w:color="auto"/>
        <w:bottom w:val="none" w:sz="0" w:space="0" w:color="auto"/>
        <w:right w:val="none" w:sz="0" w:space="0" w:color="auto"/>
      </w:divBdr>
    </w:div>
    <w:div w:id="1550916557">
      <w:bodyDiv w:val="1"/>
      <w:marLeft w:val="0"/>
      <w:marRight w:val="0"/>
      <w:marTop w:val="0"/>
      <w:marBottom w:val="0"/>
      <w:divBdr>
        <w:top w:val="none" w:sz="0" w:space="0" w:color="auto"/>
        <w:left w:val="none" w:sz="0" w:space="0" w:color="auto"/>
        <w:bottom w:val="none" w:sz="0" w:space="0" w:color="auto"/>
        <w:right w:val="none" w:sz="0" w:space="0" w:color="auto"/>
      </w:divBdr>
    </w:div>
    <w:div w:id="1592080828">
      <w:bodyDiv w:val="1"/>
      <w:marLeft w:val="0"/>
      <w:marRight w:val="0"/>
      <w:marTop w:val="0"/>
      <w:marBottom w:val="0"/>
      <w:divBdr>
        <w:top w:val="none" w:sz="0" w:space="0" w:color="auto"/>
        <w:left w:val="none" w:sz="0" w:space="0" w:color="auto"/>
        <w:bottom w:val="none" w:sz="0" w:space="0" w:color="auto"/>
        <w:right w:val="none" w:sz="0" w:space="0" w:color="auto"/>
      </w:divBdr>
    </w:div>
    <w:div w:id="1711567871">
      <w:bodyDiv w:val="1"/>
      <w:marLeft w:val="0"/>
      <w:marRight w:val="0"/>
      <w:marTop w:val="0"/>
      <w:marBottom w:val="0"/>
      <w:divBdr>
        <w:top w:val="none" w:sz="0" w:space="0" w:color="auto"/>
        <w:left w:val="none" w:sz="0" w:space="0" w:color="auto"/>
        <w:bottom w:val="none" w:sz="0" w:space="0" w:color="auto"/>
        <w:right w:val="none" w:sz="0" w:space="0" w:color="auto"/>
      </w:divBdr>
    </w:div>
    <w:div w:id="1746414853">
      <w:bodyDiv w:val="1"/>
      <w:marLeft w:val="0"/>
      <w:marRight w:val="0"/>
      <w:marTop w:val="0"/>
      <w:marBottom w:val="0"/>
      <w:divBdr>
        <w:top w:val="none" w:sz="0" w:space="0" w:color="auto"/>
        <w:left w:val="none" w:sz="0" w:space="0" w:color="auto"/>
        <w:bottom w:val="none" w:sz="0" w:space="0" w:color="auto"/>
        <w:right w:val="none" w:sz="0" w:space="0" w:color="auto"/>
      </w:divBdr>
    </w:div>
    <w:div w:id="1820144385">
      <w:bodyDiv w:val="1"/>
      <w:marLeft w:val="0"/>
      <w:marRight w:val="0"/>
      <w:marTop w:val="0"/>
      <w:marBottom w:val="0"/>
      <w:divBdr>
        <w:top w:val="none" w:sz="0" w:space="0" w:color="auto"/>
        <w:left w:val="none" w:sz="0" w:space="0" w:color="auto"/>
        <w:bottom w:val="none" w:sz="0" w:space="0" w:color="auto"/>
        <w:right w:val="none" w:sz="0" w:space="0" w:color="auto"/>
      </w:divBdr>
      <w:divsChild>
        <w:div w:id="688601045">
          <w:marLeft w:val="240"/>
          <w:marRight w:val="0"/>
          <w:marTop w:val="60"/>
          <w:marBottom w:val="60"/>
          <w:divBdr>
            <w:top w:val="none" w:sz="0" w:space="0" w:color="auto"/>
            <w:left w:val="none" w:sz="0" w:space="0" w:color="auto"/>
            <w:bottom w:val="none" w:sz="0" w:space="0" w:color="auto"/>
            <w:right w:val="none" w:sz="0" w:space="0" w:color="auto"/>
          </w:divBdr>
          <w:divsChild>
            <w:div w:id="369377976">
              <w:marLeft w:val="240"/>
              <w:marRight w:val="0"/>
              <w:marTop w:val="60"/>
              <w:marBottom w:val="60"/>
              <w:divBdr>
                <w:top w:val="none" w:sz="0" w:space="0" w:color="auto"/>
                <w:left w:val="none" w:sz="0" w:space="0" w:color="auto"/>
                <w:bottom w:val="none" w:sz="0" w:space="0" w:color="auto"/>
                <w:right w:val="none" w:sz="0" w:space="0" w:color="auto"/>
              </w:divBdr>
              <w:divsChild>
                <w:div w:id="842084870">
                  <w:marLeft w:val="0"/>
                  <w:marRight w:val="0"/>
                  <w:marTop w:val="0"/>
                  <w:marBottom w:val="0"/>
                  <w:divBdr>
                    <w:top w:val="none" w:sz="0" w:space="0" w:color="auto"/>
                    <w:left w:val="none" w:sz="0" w:space="0" w:color="auto"/>
                    <w:bottom w:val="none" w:sz="0" w:space="0" w:color="auto"/>
                    <w:right w:val="none" w:sz="0" w:space="0" w:color="auto"/>
                  </w:divBdr>
                </w:div>
              </w:divsChild>
            </w:div>
            <w:div w:id="1197353261">
              <w:marLeft w:val="240"/>
              <w:marRight w:val="0"/>
              <w:marTop w:val="60"/>
              <w:marBottom w:val="60"/>
              <w:divBdr>
                <w:top w:val="none" w:sz="0" w:space="0" w:color="auto"/>
                <w:left w:val="none" w:sz="0" w:space="0" w:color="auto"/>
                <w:bottom w:val="none" w:sz="0" w:space="0" w:color="auto"/>
                <w:right w:val="none" w:sz="0" w:space="0" w:color="auto"/>
              </w:divBdr>
              <w:divsChild>
                <w:div w:id="7586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6605">
      <w:bodyDiv w:val="1"/>
      <w:marLeft w:val="0"/>
      <w:marRight w:val="0"/>
      <w:marTop w:val="0"/>
      <w:marBottom w:val="0"/>
      <w:divBdr>
        <w:top w:val="none" w:sz="0" w:space="0" w:color="auto"/>
        <w:left w:val="none" w:sz="0" w:space="0" w:color="auto"/>
        <w:bottom w:val="none" w:sz="0" w:space="0" w:color="auto"/>
        <w:right w:val="none" w:sz="0" w:space="0" w:color="auto"/>
      </w:divBdr>
    </w:div>
    <w:div w:id="1846555142">
      <w:bodyDiv w:val="1"/>
      <w:marLeft w:val="0"/>
      <w:marRight w:val="0"/>
      <w:marTop w:val="0"/>
      <w:marBottom w:val="0"/>
      <w:divBdr>
        <w:top w:val="none" w:sz="0" w:space="0" w:color="auto"/>
        <w:left w:val="none" w:sz="0" w:space="0" w:color="auto"/>
        <w:bottom w:val="none" w:sz="0" w:space="0" w:color="auto"/>
        <w:right w:val="none" w:sz="0" w:space="0" w:color="auto"/>
      </w:divBdr>
    </w:div>
    <w:div w:id="1894192253">
      <w:bodyDiv w:val="1"/>
      <w:marLeft w:val="0"/>
      <w:marRight w:val="0"/>
      <w:marTop w:val="0"/>
      <w:marBottom w:val="0"/>
      <w:divBdr>
        <w:top w:val="none" w:sz="0" w:space="0" w:color="auto"/>
        <w:left w:val="none" w:sz="0" w:space="0" w:color="auto"/>
        <w:bottom w:val="none" w:sz="0" w:space="0" w:color="auto"/>
        <w:right w:val="none" w:sz="0" w:space="0" w:color="auto"/>
      </w:divBdr>
    </w:div>
    <w:div w:id="1992978885">
      <w:bodyDiv w:val="1"/>
      <w:marLeft w:val="0"/>
      <w:marRight w:val="0"/>
      <w:marTop w:val="0"/>
      <w:marBottom w:val="0"/>
      <w:divBdr>
        <w:top w:val="none" w:sz="0" w:space="0" w:color="auto"/>
        <w:left w:val="none" w:sz="0" w:space="0" w:color="auto"/>
        <w:bottom w:val="none" w:sz="0" w:space="0" w:color="auto"/>
        <w:right w:val="none" w:sz="0" w:space="0" w:color="auto"/>
      </w:divBdr>
    </w:div>
    <w:div w:id="2004889481">
      <w:bodyDiv w:val="1"/>
      <w:marLeft w:val="0"/>
      <w:marRight w:val="0"/>
      <w:marTop w:val="0"/>
      <w:marBottom w:val="0"/>
      <w:divBdr>
        <w:top w:val="none" w:sz="0" w:space="0" w:color="auto"/>
        <w:left w:val="none" w:sz="0" w:space="0" w:color="auto"/>
        <w:bottom w:val="none" w:sz="0" w:space="0" w:color="auto"/>
        <w:right w:val="none" w:sz="0" w:space="0" w:color="auto"/>
      </w:divBdr>
    </w:div>
    <w:div w:id="2051494797">
      <w:bodyDiv w:val="1"/>
      <w:marLeft w:val="0"/>
      <w:marRight w:val="0"/>
      <w:marTop w:val="0"/>
      <w:marBottom w:val="0"/>
      <w:divBdr>
        <w:top w:val="none" w:sz="0" w:space="0" w:color="auto"/>
        <w:left w:val="none" w:sz="0" w:space="0" w:color="auto"/>
        <w:bottom w:val="none" w:sz="0" w:space="0" w:color="auto"/>
        <w:right w:val="none" w:sz="0" w:space="0" w:color="auto"/>
      </w:divBdr>
      <w:divsChild>
        <w:div w:id="46032922">
          <w:marLeft w:val="0"/>
          <w:marRight w:val="0"/>
          <w:marTop w:val="0"/>
          <w:marBottom w:val="0"/>
          <w:divBdr>
            <w:top w:val="none" w:sz="0" w:space="0" w:color="auto"/>
            <w:left w:val="none" w:sz="0" w:space="0" w:color="auto"/>
            <w:bottom w:val="none" w:sz="0" w:space="0" w:color="auto"/>
            <w:right w:val="none" w:sz="0" w:space="0" w:color="auto"/>
          </w:divBdr>
          <w:divsChild>
            <w:div w:id="485829231">
              <w:marLeft w:val="0"/>
              <w:marRight w:val="0"/>
              <w:marTop w:val="0"/>
              <w:marBottom w:val="0"/>
              <w:divBdr>
                <w:top w:val="none" w:sz="0" w:space="0" w:color="auto"/>
                <w:left w:val="none" w:sz="0" w:space="0" w:color="auto"/>
                <w:bottom w:val="none" w:sz="0" w:space="0" w:color="auto"/>
                <w:right w:val="none" w:sz="0" w:space="0" w:color="auto"/>
              </w:divBdr>
              <w:divsChild>
                <w:div w:id="7413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2941">
          <w:marLeft w:val="0"/>
          <w:marRight w:val="0"/>
          <w:marTop w:val="0"/>
          <w:marBottom w:val="0"/>
          <w:divBdr>
            <w:top w:val="none" w:sz="0" w:space="0" w:color="auto"/>
            <w:left w:val="none" w:sz="0" w:space="0" w:color="auto"/>
            <w:bottom w:val="none" w:sz="0" w:space="0" w:color="auto"/>
            <w:right w:val="none" w:sz="0" w:space="0" w:color="auto"/>
          </w:divBdr>
          <w:divsChild>
            <w:div w:id="1543713003">
              <w:marLeft w:val="0"/>
              <w:marRight w:val="0"/>
              <w:marTop w:val="0"/>
              <w:marBottom w:val="0"/>
              <w:divBdr>
                <w:top w:val="none" w:sz="0" w:space="0" w:color="auto"/>
                <w:left w:val="none" w:sz="0" w:space="0" w:color="auto"/>
                <w:bottom w:val="none" w:sz="0" w:space="0" w:color="auto"/>
                <w:right w:val="none" w:sz="0" w:space="0" w:color="auto"/>
              </w:divBdr>
            </w:div>
            <w:div w:id="1953707651">
              <w:marLeft w:val="0"/>
              <w:marRight w:val="0"/>
              <w:marTop w:val="0"/>
              <w:marBottom w:val="0"/>
              <w:divBdr>
                <w:top w:val="none" w:sz="0" w:space="0" w:color="auto"/>
                <w:left w:val="none" w:sz="0" w:space="0" w:color="auto"/>
                <w:bottom w:val="none" w:sz="0" w:space="0" w:color="auto"/>
                <w:right w:val="none" w:sz="0" w:space="0" w:color="auto"/>
              </w:divBdr>
              <w:divsChild>
                <w:div w:id="979649760">
                  <w:marLeft w:val="0"/>
                  <w:marRight w:val="0"/>
                  <w:marTop w:val="0"/>
                  <w:marBottom w:val="0"/>
                  <w:divBdr>
                    <w:top w:val="none" w:sz="0" w:space="0" w:color="auto"/>
                    <w:left w:val="none" w:sz="0" w:space="0" w:color="auto"/>
                    <w:bottom w:val="none" w:sz="0" w:space="0" w:color="auto"/>
                    <w:right w:val="none" w:sz="0" w:space="0" w:color="auto"/>
                  </w:divBdr>
                </w:div>
              </w:divsChild>
            </w:div>
            <w:div w:id="13440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90549">
      <w:bodyDiv w:val="1"/>
      <w:marLeft w:val="0"/>
      <w:marRight w:val="0"/>
      <w:marTop w:val="0"/>
      <w:marBottom w:val="0"/>
      <w:divBdr>
        <w:top w:val="none" w:sz="0" w:space="0" w:color="auto"/>
        <w:left w:val="none" w:sz="0" w:space="0" w:color="auto"/>
        <w:bottom w:val="none" w:sz="0" w:space="0" w:color="auto"/>
        <w:right w:val="none" w:sz="0" w:space="0" w:color="auto"/>
      </w:divBdr>
    </w:div>
    <w:div w:id="2101103128">
      <w:bodyDiv w:val="1"/>
      <w:marLeft w:val="0"/>
      <w:marRight w:val="0"/>
      <w:marTop w:val="0"/>
      <w:marBottom w:val="0"/>
      <w:divBdr>
        <w:top w:val="none" w:sz="0" w:space="0" w:color="auto"/>
        <w:left w:val="none" w:sz="0" w:space="0" w:color="auto"/>
        <w:bottom w:val="none" w:sz="0" w:space="0" w:color="auto"/>
        <w:right w:val="none" w:sz="0" w:space="0" w:color="auto"/>
      </w:divBdr>
    </w:div>
    <w:div w:id="210279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26547687776a4d2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f58f5af-ce6a-4ec5-9538-b59a788c3e2d}"/>
      </w:docPartPr>
      <w:docPartBody>
        <w:p w14:paraId="4472637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7CA62CF59A384296B13533C91D4FD0" ma:contentTypeVersion="16" ma:contentTypeDescription="Create a new document." ma:contentTypeScope="" ma:versionID="261cd2dc6b785391eb4b775cd86021d8">
  <xsd:schema xmlns:xsd="http://www.w3.org/2001/XMLSchema" xmlns:xs="http://www.w3.org/2001/XMLSchema" xmlns:p="http://schemas.microsoft.com/office/2006/metadata/properties" xmlns:ns2="10ca458b-e7e4-48df-bb5e-ddc09d7eb974" xmlns:ns3="b3e4dc12-621e-4585-a1cf-dc4e081e9754" targetNamespace="http://schemas.microsoft.com/office/2006/metadata/properties" ma:root="true" ma:fieldsID="7119563f5dddbf4c291f94c053f40270" ns2:_="" ns3:_="">
    <xsd:import namespace="10ca458b-e7e4-48df-bb5e-ddc09d7eb974"/>
    <xsd:import namespace="b3e4dc12-621e-4585-a1cf-dc4e081e9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a458b-e7e4-48df-bb5e-ddc09d7eb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3559f5-bf3e-45d6-b2ae-ff53396d28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e4dc12-621e-4585-a1cf-dc4e081e97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172036-338a-4ca4-97b7-811b3764dbbf}" ma:internalName="TaxCatchAll" ma:showField="CatchAllData" ma:web="b3e4dc12-621e-4585-a1cf-dc4e081e9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3e4dc12-621e-4585-a1cf-dc4e081e9754">
      <UserInfo>
        <DisplayName>Nabilah Siddiquee</DisplayName>
        <AccountId>12</AccountId>
        <AccountType/>
      </UserInfo>
    </SharedWithUsers>
    <TaxCatchAll xmlns="b3e4dc12-621e-4585-a1cf-dc4e081e9754" xsi:nil="true"/>
    <lcf76f155ced4ddcb4097134ff3c332f xmlns="10ca458b-e7e4-48df-bb5e-ddc09d7eb9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132613-1520-8D49-B8FA-3D306E39B9D9}">
  <ds:schemaRefs>
    <ds:schemaRef ds:uri="http://schemas.openxmlformats.org/officeDocument/2006/bibliography"/>
  </ds:schemaRefs>
</ds:datastoreItem>
</file>

<file path=customXml/itemProps2.xml><?xml version="1.0" encoding="utf-8"?>
<ds:datastoreItem xmlns:ds="http://schemas.openxmlformats.org/officeDocument/2006/customXml" ds:itemID="{DFBEF440-03B4-4F61-9D27-985924FC0C92}"/>
</file>

<file path=customXml/itemProps3.xml><?xml version="1.0" encoding="utf-8"?>
<ds:datastoreItem xmlns:ds="http://schemas.openxmlformats.org/officeDocument/2006/customXml" ds:itemID="{303F3DE1-AE5C-48A9-A743-FDA4C54AFB50}">
  <ds:schemaRefs>
    <ds:schemaRef ds:uri="http://schemas.microsoft.com/sharepoint/v3/contenttype/forms"/>
  </ds:schemaRefs>
</ds:datastoreItem>
</file>

<file path=customXml/itemProps4.xml><?xml version="1.0" encoding="utf-8"?>
<ds:datastoreItem xmlns:ds="http://schemas.openxmlformats.org/officeDocument/2006/customXml" ds:itemID="{C0AE9D67-954E-4AFD-8D24-61D6A20FA30B}">
  <ds:schemaRefs>
    <ds:schemaRef ds:uri="http://schemas.microsoft.com/office/2006/metadata/properties"/>
    <ds:schemaRef ds:uri="http://schemas.microsoft.com/office/infopath/2007/PartnerControls"/>
    <ds:schemaRef ds:uri="b3e4dc12-621e-4585-a1cf-dc4e081e975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Seiko Shastri</dc:creator>
  <cp:keywords/>
  <dc:description/>
  <cp:lastModifiedBy>Andrew Wachtenheim</cp:lastModifiedBy>
  <cp:revision>6</cp:revision>
  <cp:lastPrinted>2022-03-30T17:42:00Z</cp:lastPrinted>
  <dcterms:created xsi:type="dcterms:W3CDTF">2022-06-08T19:44:00Z</dcterms:created>
  <dcterms:modified xsi:type="dcterms:W3CDTF">2022-06-23T20:54:11Z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0x010100807CA62CF59A384296B13533C91D4FD0</vt:lpwstr>
  </property>
  <property fmtid="{D5CDD505-2E9C-101B-9397-08002B2CF9AE}" pid="3" name="MediaServiceImageTags">
    <vt:lpwstr/>
  </property>
</Properties>
</file>