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B45E0" w14:textId="77777777" w:rsidR="00F22C3E" w:rsidRDefault="00BF1C1D" w:rsidP="00BF4741">
      <w:pPr>
        <w:pStyle w:val="Heading1"/>
        <w:spacing w:before="79"/>
        <w:ind w:left="0" w:right="515" w:firstLine="0"/>
        <w:jc w:val="center"/>
      </w:pPr>
      <w:bookmarkStart w:id="0" w:name="Appendix_B_Sample_Motion"/>
      <w:bookmarkEnd w:id="0"/>
      <w:r>
        <w:rPr>
          <w:u w:val="thick"/>
        </w:rPr>
        <w:t>APPENDIX</w:t>
      </w:r>
    </w:p>
    <w:p w14:paraId="37748D13" w14:textId="77777777" w:rsidR="00F22C3E" w:rsidRDefault="00F22C3E">
      <w:pPr>
        <w:pStyle w:val="BodyText"/>
        <w:spacing w:before="2"/>
        <w:rPr>
          <w:b/>
          <w:sz w:val="16"/>
        </w:rPr>
      </w:pPr>
    </w:p>
    <w:p w14:paraId="0D54DE8F" w14:textId="77777777" w:rsidR="00F22C3E" w:rsidRDefault="00F3225A">
      <w:pPr>
        <w:spacing w:before="90"/>
        <w:ind w:left="437" w:right="513"/>
        <w:jc w:val="center"/>
        <w:rPr>
          <w:b/>
          <w:sz w:val="24"/>
        </w:rPr>
      </w:pPr>
      <w:r>
        <w:rPr>
          <w:b/>
          <w:sz w:val="24"/>
        </w:rPr>
        <w:t>SAMPLE</w:t>
      </w:r>
    </w:p>
    <w:p w14:paraId="0BEAC076" w14:textId="6F5E363A" w:rsidR="00F22C3E" w:rsidRDefault="001E51AE">
      <w:pPr>
        <w:ind w:left="437" w:right="516"/>
        <w:jc w:val="center"/>
        <w:rPr>
          <w:b/>
          <w:sz w:val="24"/>
        </w:rPr>
      </w:pPr>
      <w:r>
        <w:rPr>
          <w:b/>
          <w:sz w:val="24"/>
        </w:rPr>
        <w:t xml:space="preserve">STATUTORY </w:t>
      </w:r>
      <w:r w:rsidR="00F3225A">
        <w:rPr>
          <w:b/>
          <w:sz w:val="24"/>
        </w:rPr>
        <w:t>MOTION TO RECONSIDER TO TERMINATE REMOVAL PROCEEDINGS (FOR FILING WITH THE BIA)</w:t>
      </w:r>
    </w:p>
    <w:p w14:paraId="47E61E4C" w14:textId="77777777" w:rsidR="00F22C3E" w:rsidRDefault="00F22C3E">
      <w:pPr>
        <w:pStyle w:val="BodyText"/>
        <w:spacing w:before="9"/>
        <w:rPr>
          <w:b/>
          <w:sz w:val="23"/>
        </w:rPr>
      </w:pPr>
    </w:p>
    <w:p w14:paraId="6225229F" w14:textId="77777777" w:rsidR="00F22C3E" w:rsidRDefault="00F3225A">
      <w:pPr>
        <w:pStyle w:val="BodyText"/>
        <w:ind w:left="100" w:right="329"/>
        <w:jc w:val="both"/>
      </w:pPr>
      <w:r>
        <w:t xml:space="preserve">This motion is </w:t>
      </w:r>
      <w:r>
        <w:rPr>
          <w:u w:val="single"/>
        </w:rPr>
        <w:t>not</w:t>
      </w:r>
      <w:r>
        <w:t xml:space="preserve"> a substitute for independent legal advice supplied by a lawyer familiar with</w:t>
      </w:r>
      <w:r>
        <w:rPr>
          <w:spacing w:val="-16"/>
        </w:rPr>
        <w:t xml:space="preserve"> </w:t>
      </w:r>
      <w:r>
        <w:t>a client’s case. It is not intended as, nor does it constitute, legal advice. DO NOT TREAT THIS SAMPLE MOTION AS LEGAL</w:t>
      </w:r>
      <w:r>
        <w:rPr>
          <w:spacing w:val="-2"/>
        </w:rPr>
        <w:t xml:space="preserve"> </w:t>
      </w:r>
      <w:r>
        <w:t>ADVICE.</w:t>
      </w:r>
    </w:p>
    <w:p w14:paraId="45AE25DF" w14:textId="77777777" w:rsidR="00F22C3E" w:rsidRDefault="00F22C3E">
      <w:pPr>
        <w:pStyle w:val="BodyText"/>
      </w:pPr>
    </w:p>
    <w:p w14:paraId="44EFBC5F" w14:textId="77777777" w:rsidR="00F22C3E" w:rsidRDefault="00F3225A">
      <w:pPr>
        <w:pStyle w:val="BodyText"/>
        <w:spacing w:before="1"/>
        <w:ind w:left="100"/>
      </w:pPr>
      <w:r>
        <w:t>This motion is applicable to:</w:t>
      </w:r>
    </w:p>
    <w:p w14:paraId="3C1A529E" w14:textId="77777777" w:rsidR="00F22C3E" w:rsidRDefault="00F22C3E">
      <w:pPr>
        <w:pStyle w:val="BodyText"/>
        <w:spacing w:before="11"/>
        <w:rPr>
          <w:sz w:val="23"/>
        </w:rPr>
      </w:pPr>
    </w:p>
    <w:p w14:paraId="58E04386" w14:textId="4D5B3CE4" w:rsidR="00F22C3E" w:rsidRDefault="00F3225A" w:rsidP="00BF1C1D">
      <w:pPr>
        <w:pStyle w:val="BodyText"/>
        <w:ind w:left="100" w:right="228"/>
        <w:rPr>
          <w:color w:val="006FC0"/>
        </w:rPr>
      </w:pPr>
      <w:r>
        <w:rPr>
          <w:color w:val="006FC0"/>
        </w:rPr>
        <w:t xml:space="preserve">Cases in which an aggravated felony for </w:t>
      </w:r>
      <w:r w:rsidR="00BF1C1D">
        <w:rPr>
          <w:color w:val="006FC0"/>
        </w:rPr>
        <w:t xml:space="preserve">an </w:t>
      </w:r>
      <w:r w:rsidR="00BF1C1D" w:rsidRPr="00BF1C1D">
        <w:rPr>
          <w:color w:val="006FC0"/>
        </w:rPr>
        <w:t>18 U.S.C. § 16(b)</w:t>
      </w:r>
      <w:r w:rsidR="00BF1C1D">
        <w:rPr>
          <w:color w:val="006FC0"/>
        </w:rPr>
        <w:t xml:space="preserve"> </w:t>
      </w:r>
      <w:r>
        <w:rPr>
          <w:color w:val="006FC0"/>
        </w:rPr>
        <w:t>“</w:t>
      </w:r>
      <w:r w:rsidR="00BF1C1D">
        <w:rPr>
          <w:color w:val="006FC0"/>
        </w:rPr>
        <w:t>crime of violence” under INA § 101(a)(43)(F</w:t>
      </w:r>
      <w:r>
        <w:rPr>
          <w:color w:val="006FC0"/>
        </w:rPr>
        <w:t xml:space="preserve">) was the sole ground of removability and, as a result of </w:t>
      </w:r>
      <w:r w:rsidR="00BF1C1D">
        <w:rPr>
          <w:i/>
          <w:color w:val="006FC0"/>
        </w:rPr>
        <w:t>Sessions v. Dimaya</w:t>
      </w:r>
      <w:r>
        <w:rPr>
          <w:color w:val="006FC0"/>
        </w:rPr>
        <w:t>, the person is no longer deportable</w:t>
      </w:r>
      <w:r w:rsidR="00BF4741">
        <w:rPr>
          <w:color w:val="006FC0"/>
        </w:rPr>
        <w:t>.</w:t>
      </w:r>
    </w:p>
    <w:p w14:paraId="2E8B5A80" w14:textId="77777777" w:rsidR="00F22C3E" w:rsidRDefault="00F22C3E">
      <w:pPr>
        <w:pStyle w:val="BodyText"/>
      </w:pPr>
    </w:p>
    <w:p w14:paraId="331BACC7" w14:textId="77777777" w:rsidR="00F22C3E" w:rsidRDefault="00F3225A">
      <w:pPr>
        <w:pStyle w:val="BodyText"/>
        <w:ind w:left="100"/>
      </w:pPr>
      <w:r>
        <w:t>Accordingly, the motion seeks reconsideration and termination of removal proceedings.</w:t>
      </w:r>
    </w:p>
    <w:p w14:paraId="47C024AF" w14:textId="77777777" w:rsidR="00F22C3E" w:rsidRDefault="00F22C3E">
      <w:pPr>
        <w:pStyle w:val="BodyText"/>
      </w:pPr>
    </w:p>
    <w:p w14:paraId="314C37F9" w14:textId="77777777" w:rsidR="00F22C3E" w:rsidRDefault="00F3225A">
      <w:pPr>
        <w:pStyle w:val="BodyText"/>
        <w:ind w:left="100"/>
      </w:pPr>
      <w:r>
        <w:t xml:space="preserve">This sample motion is intended for filing with the Board of Immigration Appeals (BIA). If the person did </w:t>
      </w:r>
      <w:r>
        <w:rPr>
          <w:u w:val="single"/>
        </w:rPr>
        <w:t>not</w:t>
      </w:r>
      <w:r>
        <w:t xml:space="preserve"> appeal to the BIA, the motion should be filed with the Immigration Court and different regulations apply.</w:t>
      </w:r>
    </w:p>
    <w:p w14:paraId="540C2299" w14:textId="77777777" w:rsidR="00F22C3E" w:rsidRDefault="00F22C3E">
      <w:pPr>
        <w:pStyle w:val="BodyText"/>
      </w:pPr>
    </w:p>
    <w:p w14:paraId="70982AEF" w14:textId="6B282943" w:rsidR="00F22C3E" w:rsidRDefault="00F3225A" w:rsidP="00736F5B">
      <w:pPr>
        <w:pStyle w:val="BodyText"/>
        <w:ind w:left="100"/>
      </w:pPr>
      <w:r>
        <w:t>In cases where the person was deportable based on an aggravated felony for</w:t>
      </w:r>
      <w:r w:rsidR="00BF1C1D">
        <w:t xml:space="preserve"> a </w:t>
      </w:r>
      <w:r w:rsidR="00736F5B">
        <w:t xml:space="preserve">section 16(b) </w:t>
      </w:r>
      <w:r w:rsidR="00314710">
        <w:t>“</w:t>
      </w:r>
      <w:r w:rsidR="00BF1C1D">
        <w:t>crime of violence</w:t>
      </w:r>
      <w:r w:rsidR="00314710">
        <w:t>”</w:t>
      </w:r>
      <w:r w:rsidR="00BF1C1D">
        <w:t xml:space="preserve"> under </w:t>
      </w:r>
      <w:r w:rsidR="00736F5B" w:rsidRPr="00736F5B">
        <w:rPr>
          <w:color w:val="000000" w:themeColor="text1"/>
        </w:rPr>
        <w:t>INA § 101(a)(43)(F)</w:t>
      </w:r>
      <w:r w:rsidR="00736F5B">
        <w:t xml:space="preserve"> </w:t>
      </w:r>
      <w:r>
        <w:rPr>
          <w:i/>
        </w:rPr>
        <w:t xml:space="preserve">and </w:t>
      </w:r>
      <w:r>
        <w:t xml:space="preserve">some other ground of removability, counsel should assess whether the person now is eligible for relief from removal as a result of </w:t>
      </w:r>
      <w:r w:rsidR="00736F5B" w:rsidRPr="00736F5B">
        <w:rPr>
          <w:i/>
          <w:color w:val="000000" w:themeColor="text1"/>
        </w:rPr>
        <w:t>Sessions v. Dimaya</w:t>
      </w:r>
      <w:r w:rsidRPr="00736F5B">
        <w:rPr>
          <w:color w:val="000000" w:themeColor="text1"/>
        </w:rPr>
        <w:t>.</w:t>
      </w:r>
      <w:r>
        <w:t xml:space="preserve"> These respondents would need to seek reconsideration and the opportunity to apply for relief from removal.</w:t>
      </w:r>
    </w:p>
    <w:p w14:paraId="18B40D7C" w14:textId="77777777" w:rsidR="00CA5041" w:rsidRDefault="00CA5041" w:rsidP="00736F5B">
      <w:pPr>
        <w:pStyle w:val="BodyText"/>
        <w:ind w:left="100"/>
      </w:pPr>
    </w:p>
    <w:p w14:paraId="4E760EDC" w14:textId="77777777" w:rsidR="00CA5041" w:rsidRDefault="00CA5041" w:rsidP="00736F5B">
      <w:pPr>
        <w:pStyle w:val="BodyText"/>
        <w:ind w:left="100"/>
      </w:pPr>
    </w:p>
    <w:p w14:paraId="2224EC55" w14:textId="77777777" w:rsidR="00CA5041" w:rsidRDefault="00CA5041" w:rsidP="00736F5B">
      <w:pPr>
        <w:pStyle w:val="BodyText"/>
        <w:ind w:left="100"/>
      </w:pPr>
    </w:p>
    <w:p w14:paraId="7D8B4D9F" w14:textId="77777777" w:rsidR="002F7778" w:rsidRDefault="002F7778" w:rsidP="00736F5B">
      <w:pPr>
        <w:pStyle w:val="BodyText"/>
        <w:ind w:left="100"/>
      </w:pPr>
    </w:p>
    <w:p w14:paraId="642DB74F" w14:textId="77777777" w:rsidR="002F7778" w:rsidRDefault="002F7778">
      <w:pPr>
        <w:sectPr w:rsidR="002F7778">
          <w:footerReference w:type="default" r:id="rId7"/>
          <w:pgSz w:w="12240" w:h="15840"/>
          <w:pgMar w:top="1360" w:right="1260" w:bottom="1260" w:left="1340" w:header="0" w:footer="1064" w:gutter="0"/>
          <w:pgNumType w:start="1"/>
          <w:cols w:space="720"/>
        </w:sectPr>
      </w:pPr>
    </w:p>
    <w:p w14:paraId="48DE36ED" w14:textId="77777777" w:rsidR="00F22C3E" w:rsidRDefault="00F3225A">
      <w:pPr>
        <w:pStyle w:val="BodyText"/>
        <w:spacing w:before="76"/>
        <w:ind w:left="6754"/>
      </w:pPr>
      <w:r>
        <w:rPr>
          <w:color w:val="FF0000"/>
        </w:rPr>
        <w:lastRenderedPageBreak/>
        <w:t xml:space="preserve">[If applicable: </w:t>
      </w:r>
      <w:r>
        <w:t>DETAINED</w:t>
      </w:r>
      <w:r>
        <w:rPr>
          <w:color w:val="FF0000"/>
        </w:rPr>
        <w:t>]</w:t>
      </w:r>
    </w:p>
    <w:p w14:paraId="0FEE0B26" w14:textId="77777777" w:rsidR="00F22C3E" w:rsidRDefault="00F22C3E">
      <w:pPr>
        <w:pStyle w:val="BodyText"/>
      </w:pPr>
    </w:p>
    <w:p w14:paraId="3A2E7D9B" w14:textId="77777777" w:rsidR="00F22C3E" w:rsidRDefault="00F3225A">
      <w:pPr>
        <w:pStyle w:val="BodyText"/>
        <w:ind w:left="2040" w:right="2118" w:hanging="1"/>
        <w:jc w:val="center"/>
      </w:pPr>
      <w:r>
        <w:t>UNITED STATES DEPARTMENT OF JUSTICE EXECUTIVE OFFICE FOR IMMIGRATION REVIEW BOARD OF IMMIGRATION APPEALS</w:t>
      </w:r>
    </w:p>
    <w:p w14:paraId="2495841E" w14:textId="77777777" w:rsidR="00F22C3E" w:rsidRDefault="00F3225A">
      <w:pPr>
        <w:pStyle w:val="BodyText"/>
        <w:spacing w:before="1"/>
        <w:ind w:left="437" w:right="515"/>
        <w:jc w:val="center"/>
      </w:pPr>
      <w:r>
        <w:t>FALLS CHURCH, VIRGINIA</w:t>
      </w:r>
    </w:p>
    <w:p w14:paraId="16FA4074" w14:textId="77777777" w:rsidR="00F22C3E" w:rsidRDefault="00F22C3E">
      <w:pPr>
        <w:pStyle w:val="BodyText"/>
        <w:rPr>
          <w:sz w:val="26"/>
        </w:rPr>
      </w:pPr>
    </w:p>
    <w:p w14:paraId="1987558B" w14:textId="77777777" w:rsidR="00F22C3E" w:rsidRDefault="00F22C3E">
      <w:pPr>
        <w:pStyle w:val="BodyText"/>
        <w:rPr>
          <w:sz w:val="22"/>
        </w:rPr>
      </w:pPr>
    </w:p>
    <w:p w14:paraId="77E98032" w14:textId="77777777" w:rsidR="00F22C3E" w:rsidRDefault="00F3225A">
      <w:pPr>
        <w:pStyle w:val="BodyText"/>
        <w:tabs>
          <w:tab w:val="left" w:pos="5140"/>
        </w:tabs>
        <w:ind w:left="100"/>
      </w:pPr>
      <w:r>
        <w:t>In the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of:</w:t>
      </w:r>
      <w:r>
        <w:tab/>
        <w:t>)</w:t>
      </w:r>
    </w:p>
    <w:p w14:paraId="53E80209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06A3077D" w14:textId="77777777" w:rsidR="00F22C3E" w:rsidRDefault="00F3225A">
      <w:pPr>
        <w:tabs>
          <w:tab w:val="left" w:pos="4539"/>
          <w:tab w:val="left" w:pos="5140"/>
          <w:tab w:val="left" w:pos="5700"/>
          <w:tab w:val="left" w:pos="8760"/>
        </w:tabs>
        <w:ind w:left="100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z w:val="24"/>
        </w:rPr>
        <w:tab/>
      </w:r>
      <w:r>
        <w:rPr>
          <w:sz w:val="24"/>
        </w:rPr>
        <w:t>)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62EF52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6983FD5F" w14:textId="77777777" w:rsidR="00F22C3E" w:rsidRDefault="00F3225A">
      <w:pPr>
        <w:pStyle w:val="BodyText"/>
        <w:tabs>
          <w:tab w:val="left" w:pos="5140"/>
        </w:tabs>
        <w:ind w:left="820"/>
      </w:pPr>
      <w:r>
        <w:t>Respondent.</w:t>
      </w:r>
      <w:r>
        <w:tab/>
        <w:t>)</w:t>
      </w:r>
    </w:p>
    <w:p w14:paraId="079C0486" w14:textId="77777777" w:rsidR="00F22C3E" w:rsidRDefault="00F3225A">
      <w:pPr>
        <w:pStyle w:val="BodyText"/>
        <w:ind w:left="721"/>
        <w:jc w:val="center"/>
      </w:pPr>
      <w:r>
        <w:rPr>
          <w:w w:val="99"/>
        </w:rPr>
        <w:t>)</w:t>
      </w:r>
    </w:p>
    <w:p w14:paraId="07664873" w14:textId="77777777" w:rsidR="00F22C3E" w:rsidRDefault="00F3225A">
      <w:pPr>
        <w:pStyle w:val="BodyText"/>
        <w:tabs>
          <w:tab w:val="left" w:pos="5140"/>
        </w:tabs>
        <w:ind w:left="100"/>
      </w:pPr>
      <w:r>
        <w:t>In</w:t>
      </w:r>
      <w:r>
        <w:rPr>
          <w:spacing w:val="-1"/>
        </w:rPr>
        <w:t xml:space="preserve"> </w:t>
      </w:r>
      <w:r>
        <w:t>Removal Proceedings.</w:t>
      </w:r>
      <w:r>
        <w:tab/>
        <w:t>)</w:t>
      </w:r>
    </w:p>
    <w:p w14:paraId="79F606FE" w14:textId="77777777" w:rsidR="00F22C3E" w:rsidRDefault="00F3225A">
      <w:pPr>
        <w:pStyle w:val="BodyText"/>
        <w:tabs>
          <w:tab w:val="left" w:pos="5140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6E772659" w14:textId="77777777" w:rsidR="00F22C3E" w:rsidRDefault="00F22C3E">
      <w:pPr>
        <w:pStyle w:val="BodyText"/>
        <w:rPr>
          <w:sz w:val="26"/>
        </w:rPr>
      </w:pPr>
    </w:p>
    <w:p w14:paraId="6C0709B5" w14:textId="77777777" w:rsidR="00F22C3E" w:rsidRPr="00736F5B" w:rsidRDefault="00F22C3E">
      <w:pPr>
        <w:pStyle w:val="BodyText"/>
        <w:spacing w:before="2"/>
        <w:rPr>
          <w:sz w:val="22"/>
        </w:rPr>
      </w:pPr>
    </w:p>
    <w:p w14:paraId="650C5BD0" w14:textId="558EE058" w:rsidR="00F22C3E" w:rsidRPr="00736F5B" w:rsidRDefault="001E51AE">
      <w:pPr>
        <w:spacing w:before="1"/>
        <w:ind w:left="2019" w:right="2124" w:firstLine="27"/>
        <w:jc w:val="center"/>
        <w:rPr>
          <w:b/>
          <w:i/>
          <w:sz w:val="24"/>
        </w:rPr>
      </w:pPr>
      <w:r>
        <w:rPr>
          <w:b/>
          <w:sz w:val="24"/>
        </w:rPr>
        <w:t xml:space="preserve">STATUTORY </w:t>
      </w:r>
      <w:bookmarkStart w:id="1" w:name="_GoBack"/>
      <w:bookmarkEnd w:id="1"/>
      <w:r w:rsidR="00F3225A" w:rsidRPr="00736F5B">
        <w:rPr>
          <w:b/>
          <w:sz w:val="24"/>
        </w:rPr>
        <w:t>MOTION TO RECONSIDER AND TERMINATE IN</w:t>
      </w:r>
      <w:r w:rsidR="00F3225A" w:rsidRPr="00736F5B">
        <w:rPr>
          <w:b/>
          <w:spacing w:val="-37"/>
          <w:sz w:val="24"/>
        </w:rPr>
        <w:t xml:space="preserve"> </w:t>
      </w:r>
      <w:r w:rsidR="00F3225A" w:rsidRPr="00736F5B">
        <w:rPr>
          <w:b/>
          <w:sz w:val="24"/>
        </w:rPr>
        <w:t>LIGHT</w:t>
      </w:r>
      <w:r w:rsidR="00F3225A" w:rsidRPr="00736F5B">
        <w:rPr>
          <w:b/>
          <w:spacing w:val="-37"/>
          <w:sz w:val="24"/>
        </w:rPr>
        <w:t xml:space="preserve"> </w:t>
      </w:r>
      <w:r w:rsidR="00F3225A" w:rsidRPr="00736F5B">
        <w:rPr>
          <w:b/>
          <w:sz w:val="24"/>
        </w:rPr>
        <w:t>OF</w:t>
      </w:r>
      <w:r w:rsidR="00F3225A" w:rsidRPr="00736F5B">
        <w:rPr>
          <w:b/>
          <w:spacing w:val="-37"/>
          <w:sz w:val="24"/>
        </w:rPr>
        <w:t xml:space="preserve"> </w:t>
      </w:r>
      <w:r w:rsidR="00736F5B" w:rsidRPr="00736F5B">
        <w:rPr>
          <w:b/>
          <w:i/>
          <w:sz w:val="24"/>
        </w:rPr>
        <w:t>SESSIONS v. DIMAYA</w:t>
      </w:r>
    </w:p>
    <w:p w14:paraId="262B2C88" w14:textId="77777777" w:rsidR="00F22C3E" w:rsidRDefault="00F22C3E">
      <w:pPr>
        <w:pStyle w:val="BodyText"/>
        <w:spacing w:before="10"/>
        <w:rPr>
          <w:rFonts w:ascii="Arial-BoldItalicMT"/>
          <w:b/>
          <w:i/>
          <w:sz w:val="23"/>
        </w:rPr>
      </w:pPr>
    </w:p>
    <w:p w14:paraId="61581B72" w14:textId="77777777" w:rsidR="00F22C3E" w:rsidRDefault="00F3225A" w:rsidP="009F7EE7">
      <w:pPr>
        <w:pStyle w:val="Heading1"/>
        <w:numPr>
          <w:ilvl w:val="0"/>
          <w:numId w:val="4"/>
        </w:numPr>
        <w:tabs>
          <w:tab w:val="left" w:pos="4180"/>
          <w:tab w:val="left" w:pos="4181"/>
        </w:tabs>
        <w:ind w:left="1890"/>
        <w:jc w:val="left"/>
      </w:pPr>
      <w:r>
        <w:rPr>
          <w:u w:val="thick"/>
        </w:rPr>
        <w:t>INTRODUCTION</w:t>
      </w:r>
    </w:p>
    <w:p w14:paraId="0C21CD8B" w14:textId="77777777" w:rsidR="00F22C3E" w:rsidRDefault="00F22C3E">
      <w:pPr>
        <w:pStyle w:val="BodyText"/>
        <w:rPr>
          <w:b/>
          <w:sz w:val="16"/>
        </w:rPr>
      </w:pPr>
    </w:p>
    <w:p w14:paraId="07D6FAE8" w14:textId="77777777" w:rsidR="00F22C3E" w:rsidRDefault="00F3225A">
      <w:pPr>
        <w:pStyle w:val="BodyText"/>
        <w:spacing w:before="90"/>
        <w:ind w:left="820"/>
      </w:pPr>
      <w:r>
        <w:t>Pursuant to § 240(c)(6) of the Immigration and Nationality Act (INA), Respondent,</w:t>
      </w:r>
    </w:p>
    <w:p w14:paraId="5D644C9A" w14:textId="77777777" w:rsidR="00F22C3E" w:rsidRDefault="00F22C3E">
      <w:pPr>
        <w:pStyle w:val="BodyText"/>
        <w:spacing w:before="2"/>
        <w:rPr>
          <w:sz w:val="16"/>
        </w:rPr>
      </w:pPr>
    </w:p>
    <w:p w14:paraId="6BDBA43B" w14:textId="77777777" w:rsidR="00FA5FEF" w:rsidRPr="00221EFF" w:rsidRDefault="00F3225A" w:rsidP="00221EFF">
      <w:pPr>
        <w:pStyle w:val="BodyText"/>
        <w:spacing w:line="480" w:lineRule="auto"/>
        <w:ind w:right="695"/>
        <w:rPr>
          <w:color w:val="000000" w:themeColor="text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Pr="00221EFF">
        <w:rPr>
          <w:color w:val="000000" w:themeColor="text1"/>
        </w:rPr>
        <w:t>hereby seeks reconsideration in light of the Supreme Court’s recent precedent decision in</w:t>
      </w:r>
      <w:r w:rsidR="00736F5B" w:rsidRPr="00221EFF">
        <w:rPr>
          <w:rFonts w:ascii="Helvetica" w:hAnsi="Helvetica"/>
          <w:color w:val="000000" w:themeColor="text1"/>
        </w:rPr>
        <w:t xml:space="preserve"> </w:t>
      </w:r>
      <w:r w:rsidR="00736F5B" w:rsidRPr="00221EF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Sessions v. Dimaya</w:t>
      </w:r>
      <w:r w:rsidR="00736F5B" w:rsidRPr="00221EFF">
        <w:rPr>
          <w:color w:val="000000" w:themeColor="text1"/>
          <w:bdr w:val="none" w:sz="0" w:space="0" w:color="auto" w:frame="1"/>
          <w:shd w:val="clear" w:color="auto" w:fill="FFFFFF"/>
        </w:rPr>
        <w:t>, No. 15-1498, -- U.S. --,  2018 U.S. LEXIS 2497 (Apr. 17, 2018)</w:t>
      </w:r>
      <w:r w:rsidRPr="00221EFF">
        <w:rPr>
          <w:color w:val="000000" w:themeColor="text1"/>
        </w:rPr>
        <w:t xml:space="preserve">. In </w:t>
      </w:r>
      <w:r w:rsidR="00736F5B" w:rsidRPr="00221EF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Dimaya</w:t>
      </w:r>
      <w:r w:rsidRPr="00221EFF">
        <w:rPr>
          <w:color w:val="000000" w:themeColor="text1"/>
        </w:rPr>
        <w:t xml:space="preserve">, the Supreme Court held that </w:t>
      </w:r>
      <w:r w:rsidR="00FA5FEF" w:rsidRPr="00221EFF">
        <w:rPr>
          <w:color w:val="000000" w:themeColor="text1"/>
        </w:rPr>
        <w:t xml:space="preserve">18 U.S.C. § 16(b), as incorporated by INA § 101(a)(43)(F), is void for vagueness under the Due Process Clause of the Fifth Amendment. </w:t>
      </w:r>
      <w:r w:rsidR="00FA5FEF" w:rsidRPr="00221EFF">
        <w:rPr>
          <w:color w:val="000000" w:themeColor="text1"/>
          <w:bdr w:val="none" w:sz="0" w:space="0" w:color="auto" w:frame="1"/>
          <w:shd w:val="clear" w:color="auto" w:fill="FFFFFF"/>
        </w:rPr>
        <w:t>2018 U.S. LEXIS 2497 at *39.</w:t>
      </w:r>
      <w:r w:rsidR="00FA5FEF" w:rsidRPr="00221EFF">
        <w:rPr>
          <w:rFonts w:ascii="Helvetica" w:hAnsi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438680A" w14:textId="77777777" w:rsidR="00FA5FEF" w:rsidRDefault="00FA5FEF" w:rsidP="00221EFF">
      <w:pPr>
        <w:pStyle w:val="BodyText"/>
        <w:spacing w:line="480" w:lineRule="auto"/>
        <w:ind w:right="695"/>
        <w:rPr>
          <w:sz w:val="22"/>
        </w:rPr>
      </w:pPr>
      <w:r w:rsidRPr="00221EFF">
        <w:rPr>
          <w:color w:val="000000" w:themeColor="text1"/>
        </w:rPr>
        <w:tab/>
      </w:r>
      <w:r w:rsidR="00F3225A" w:rsidRPr="00221EFF">
        <w:rPr>
          <w:color w:val="000000" w:themeColor="text1"/>
        </w:rPr>
        <w:t xml:space="preserve"> The Board should reconsider its decision and terminate removal proceedings against Respondent because the Court’s decision in </w:t>
      </w:r>
      <w:r w:rsidRPr="00221EF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Sessions v. Dimaya </w:t>
      </w:r>
      <w:r w:rsidR="00F3225A" w:rsidRPr="00221EFF">
        <w:rPr>
          <w:color w:val="000000" w:themeColor="text1"/>
        </w:rPr>
        <w:t>controls</w:t>
      </w:r>
      <w:r w:rsidR="00F3225A">
        <w:t xml:space="preserve"> this case.</w:t>
      </w:r>
    </w:p>
    <w:p w14:paraId="62FC242B" w14:textId="77777777" w:rsidR="00FA5FEF" w:rsidRDefault="00FA5FEF">
      <w:pPr>
        <w:pStyle w:val="BodyText"/>
        <w:spacing w:before="2"/>
        <w:rPr>
          <w:sz w:val="22"/>
        </w:rPr>
      </w:pPr>
    </w:p>
    <w:p w14:paraId="7E046BF8" w14:textId="77777777" w:rsidR="00FA5FEF" w:rsidRDefault="00FA5FEF">
      <w:pPr>
        <w:pStyle w:val="BodyText"/>
        <w:spacing w:before="2"/>
        <w:rPr>
          <w:sz w:val="22"/>
        </w:rPr>
      </w:pPr>
    </w:p>
    <w:p w14:paraId="0AAF0DF2" w14:textId="77777777" w:rsidR="00FA5FEF" w:rsidRDefault="00FA5FEF">
      <w:pPr>
        <w:pStyle w:val="BodyText"/>
        <w:spacing w:before="2"/>
        <w:rPr>
          <w:sz w:val="22"/>
        </w:rPr>
      </w:pPr>
    </w:p>
    <w:p w14:paraId="78B6B256" w14:textId="77777777" w:rsidR="00F22C3E" w:rsidRDefault="00F3225A">
      <w:pPr>
        <w:pStyle w:val="Heading1"/>
        <w:numPr>
          <w:ilvl w:val="0"/>
          <w:numId w:val="4"/>
        </w:numPr>
        <w:tabs>
          <w:tab w:val="left" w:pos="1863"/>
          <w:tab w:val="left" w:pos="1864"/>
        </w:tabs>
        <w:ind w:left="1863"/>
        <w:jc w:val="left"/>
      </w:pPr>
      <w:r>
        <w:rPr>
          <w:u w:val="thick"/>
        </w:rPr>
        <w:t>STATEMENT OF FACTS AND STATEMENT OF THE</w:t>
      </w:r>
      <w:r>
        <w:rPr>
          <w:spacing w:val="-4"/>
          <w:u w:val="thick"/>
        </w:rPr>
        <w:t xml:space="preserve"> </w:t>
      </w:r>
      <w:r>
        <w:rPr>
          <w:u w:val="thick"/>
        </w:rPr>
        <w:t>CASE</w:t>
      </w:r>
    </w:p>
    <w:p w14:paraId="13E47AA4" w14:textId="77777777" w:rsidR="00F22C3E" w:rsidRDefault="00F22C3E">
      <w:pPr>
        <w:sectPr w:rsidR="00F22C3E">
          <w:pgSz w:w="12240" w:h="15840"/>
          <w:pgMar w:top="1360" w:right="1260" w:bottom="1260" w:left="1340" w:header="0" w:footer="1064" w:gutter="0"/>
          <w:cols w:space="720"/>
        </w:sectPr>
      </w:pPr>
    </w:p>
    <w:p w14:paraId="3F41A08C" w14:textId="7D6817D5" w:rsidR="00F22C3E" w:rsidRDefault="00F3225A">
      <w:pPr>
        <w:pStyle w:val="BodyText"/>
        <w:tabs>
          <w:tab w:val="left" w:pos="3564"/>
          <w:tab w:val="left" w:pos="6972"/>
        </w:tabs>
        <w:spacing w:before="76" w:line="480" w:lineRule="auto"/>
        <w:ind w:left="100" w:right="248" w:firstLine="720"/>
      </w:pPr>
      <w:r>
        <w:lastRenderedPageBreak/>
        <w:t>The Department of Homeland Security (DHS) alleged that Respondent was admitted as</w:t>
      </w:r>
      <w:r>
        <w:rPr>
          <w:spacing w:val="-13"/>
        </w:rPr>
        <w:t xml:space="preserve"> </w:t>
      </w:r>
      <w:r>
        <w:t>a lawful permanent</w:t>
      </w:r>
      <w:r>
        <w:rPr>
          <w:spacing w:val="-2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 </w:t>
      </w:r>
      <w:r>
        <w:rPr>
          <w:i/>
        </w:rPr>
        <w:t xml:space="preserve">See </w:t>
      </w:r>
      <w:r>
        <w:t>Notice to</w:t>
      </w:r>
      <w:r>
        <w:rPr>
          <w:spacing w:val="-1"/>
        </w:rPr>
        <w:t xml:space="preserve"> </w:t>
      </w:r>
      <w:r>
        <w:t>Appear,</w:t>
      </w:r>
      <w:r>
        <w:rPr>
          <w:spacing w:val="-1"/>
        </w:rPr>
        <w:t xml:space="preserve"> </w:t>
      </w: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DHS charged Respondent with deportability for an aggravated felony under INA § 101(a)(43)(</w:t>
      </w:r>
      <w:r w:rsidR="00FA5FEF">
        <w:t>F</w:t>
      </w:r>
      <w:r>
        <w:t xml:space="preserve">) </w:t>
      </w:r>
      <w:r w:rsidR="001F7BC7">
        <w:t xml:space="preserve">for a </w:t>
      </w:r>
      <w:r w:rsidR="00314710">
        <w:t>“</w:t>
      </w:r>
      <w:r w:rsidR="001F7BC7">
        <w:t>crime of violence</w:t>
      </w:r>
      <w:r w:rsidR="00314710">
        <w:t>”</w:t>
      </w:r>
      <w:r w:rsidR="001F7BC7">
        <w:t xml:space="preserve"> under § 16(b).</w:t>
      </w:r>
    </w:p>
    <w:p w14:paraId="53B8F2D3" w14:textId="77777777" w:rsidR="00F22C3E" w:rsidRDefault="00F3225A">
      <w:pPr>
        <w:pStyle w:val="BodyText"/>
        <w:tabs>
          <w:tab w:val="left" w:pos="2013"/>
          <w:tab w:val="left" w:pos="5793"/>
        </w:tabs>
        <w:spacing w:before="1" w:line="480" w:lineRule="auto"/>
        <w:ind w:left="100" w:right="248" w:firstLine="720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the Immigration Judge (IJ) found Respondent deportable as charged. </w:t>
      </w:r>
      <w:r>
        <w:rPr>
          <w:i/>
        </w:rPr>
        <w:t xml:space="preserve">See </w:t>
      </w:r>
      <w:r>
        <w:t>IJ Decision.  This Board affirmed the IJ’s</w:t>
      </w:r>
      <w:r>
        <w:rPr>
          <w:spacing w:val="-6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. </w:t>
      </w:r>
      <w:r>
        <w:rPr>
          <w:i/>
        </w:rPr>
        <w:t xml:space="preserve">See </w:t>
      </w:r>
      <w:r>
        <w:t>BIA</w:t>
      </w:r>
      <w:r>
        <w:rPr>
          <w:spacing w:val="-1"/>
        </w:rPr>
        <w:t xml:space="preserve"> </w:t>
      </w:r>
      <w:r>
        <w:t>Decision.</w:t>
      </w:r>
    </w:p>
    <w:p w14:paraId="79486BEE" w14:textId="77777777" w:rsidR="00F22C3E" w:rsidRDefault="00F3225A">
      <w:pPr>
        <w:pStyle w:val="BodyText"/>
        <w:ind w:left="820"/>
      </w:pPr>
      <w:r>
        <w:t>Pursuant to 8 C.F.R. § 1003.2(e), Respondent declares that:</w:t>
      </w:r>
    </w:p>
    <w:p w14:paraId="6A617D26" w14:textId="77777777" w:rsidR="00F22C3E" w:rsidRDefault="00F22C3E">
      <w:pPr>
        <w:pStyle w:val="BodyText"/>
      </w:pPr>
    </w:p>
    <w:p w14:paraId="390B0607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</w:tabs>
        <w:spacing w:line="480" w:lineRule="auto"/>
        <w:ind w:right="307" w:firstLine="0"/>
        <w:rPr>
          <w:sz w:val="24"/>
        </w:rPr>
      </w:pPr>
      <w:r>
        <w:rPr>
          <w:sz w:val="24"/>
        </w:rPr>
        <w:t xml:space="preserve">The validity of the removal order </w:t>
      </w:r>
      <w:r>
        <w:rPr>
          <w:color w:val="FF0000"/>
          <w:sz w:val="24"/>
        </w:rPr>
        <w:t xml:space="preserve">[has been or is OR has not been and is not] </w:t>
      </w:r>
      <w:r>
        <w:rPr>
          <w:sz w:val="24"/>
        </w:rPr>
        <w:t xml:space="preserve">the subject of a judicial proceeding. </w:t>
      </w:r>
      <w:r>
        <w:rPr>
          <w:color w:val="FF0000"/>
          <w:sz w:val="24"/>
        </w:rPr>
        <w:t xml:space="preserve">[If applicable] </w:t>
      </w:r>
      <w:r>
        <w:rPr>
          <w:sz w:val="24"/>
        </w:rPr>
        <w:t>The location of the judicial proceeding</w:t>
      </w:r>
      <w:r>
        <w:rPr>
          <w:spacing w:val="-6"/>
          <w:sz w:val="24"/>
        </w:rPr>
        <w:t xml:space="preserve"> </w:t>
      </w:r>
      <w:r>
        <w:rPr>
          <w:sz w:val="24"/>
        </w:rPr>
        <w:t>is:</w:t>
      </w:r>
    </w:p>
    <w:p w14:paraId="76F3119B" w14:textId="77777777" w:rsidR="00F22C3E" w:rsidRDefault="00F3225A">
      <w:pPr>
        <w:pStyle w:val="BodyText"/>
        <w:tabs>
          <w:tab w:val="left" w:pos="3099"/>
          <w:tab w:val="left" w:pos="9138"/>
          <w:tab w:val="left" w:pos="9399"/>
        </w:tabs>
        <w:spacing w:line="480" w:lineRule="auto"/>
        <w:ind w:left="100" w:righ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 The proceeding took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The outcome 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5F76A0E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  <w:tab w:val="left" w:pos="9284"/>
        </w:tabs>
        <w:spacing w:line="480" w:lineRule="auto"/>
        <w:ind w:right="293" w:firstLine="0"/>
        <w:rPr>
          <w:sz w:val="24"/>
        </w:rPr>
      </w:pPr>
      <w:r>
        <w:rPr>
          <w:sz w:val="24"/>
        </w:rPr>
        <w:t xml:space="preserve">Respondent </w:t>
      </w:r>
      <w:r>
        <w:rPr>
          <w:color w:val="FF0000"/>
          <w:sz w:val="24"/>
        </w:rPr>
        <w:t xml:space="preserve">[is OR is not] </w:t>
      </w:r>
      <w:r>
        <w:rPr>
          <w:sz w:val="24"/>
        </w:rPr>
        <w:t>currently the subject of a criminal proceeding under the Act. The current status of this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</w:t>
      </w:r>
      <w:r>
        <w:rPr>
          <w:spacing w:val="-2"/>
          <w:sz w:val="24"/>
        </w:rPr>
        <w:t xml:space="preserve"> </w:t>
      </w:r>
      <w:r>
        <w:rPr>
          <w:sz w:val="24"/>
        </w:rPr>
        <w:t>is: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FAC99F0" w14:textId="77777777" w:rsidR="00F22C3E" w:rsidRDefault="00F3225A">
      <w:pPr>
        <w:pStyle w:val="ListParagraph"/>
        <w:numPr>
          <w:ilvl w:val="0"/>
          <w:numId w:val="3"/>
        </w:numPr>
        <w:tabs>
          <w:tab w:val="left" w:pos="441"/>
        </w:tabs>
        <w:spacing w:line="480" w:lineRule="auto"/>
        <w:ind w:right="241" w:firstLine="0"/>
        <w:rPr>
          <w:sz w:val="24"/>
        </w:rPr>
      </w:pPr>
      <w:r>
        <w:rPr>
          <w:sz w:val="24"/>
        </w:rPr>
        <w:t xml:space="preserve">Respondent </w:t>
      </w:r>
      <w:r>
        <w:rPr>
          <w:color w:val="FF0000"/>
          <w:sz w:val="24"/>
        </w:rPr>
        <w:t xml:space="preserve">[is OR is not] </w:t>
      </w:r>
      <w:r>
        <w:rPr>
          <w:sz w:val="24"/>
        </w:rPr>
        <w:t>currently the subject of any pending criminal proceeding under</w:t>
      </w:r>
      <w:r>
        <w:rPr>
          <w:spacing w:val="-11"/>
          <w:sz w:val="24"/>
        </w:rPr>
        <w:t xml:space="preserve"> </w:t>
      </w:r>
      <w:r>
        <w:rPr>
          <w:sz w:val="24"/>
        </w:rPr>
        <w:t>the Act.</w:t>
      </w:r>
    </w:p>
    <w:p w14:paraId="7B9A79E1" w14:textId="77777777" w:rsidR="00F22C3E" w:rsidRDefault="00F3225A">
      <w:pPr>
        <w:pStyle w:val="Heading1"/>
        <w:numPr>
          <w:ilvl w:val="0"/>
          <w:numId w:val="4"/>
        </w:numPr>
        <w:tabs>
          <w:tab w:val="left" w:pos="2967"/>
          <w:tab w:val="left" w:pos="2968"/>
        </w:tabs>
        <w:spacing w:before="2"/>
        <w:ind w:left="2967"/>
        <w:jc w:val="left"/>
      </w:pPr>
      <w:r>
        <w:rPr>
          <w:u w:val="thick"/>
        </w:rPr>
        <w:t>STANDARD FOR</w:t>
      </w:r>
      <w:r>
        <w:rPr>
          <w:spacing w:val="-2"/>
          <w:u w:val="thick"/>
        </w:rPr>
        <w:t xml:space="preserve"> </w:t>
      </w:r>
      <w:r>
        <w:rPr>
          <w:u w:val="thick"/>
        </w:rPr>
        <w:t>RECONSIDERATION</w:t>
      </w:r>
    </w:p>
    <w:p w14:paraId="7042A9F1" w14:textId="77777777" w:rsidR="00F22C3E" w:rsidRDefault="00F22C3E">
      <w:pPr>
        <w:pStyle w:val="BodyText"/>
        <w:rPr>
          <w:b/>
          <w:sz w:val="16"/>
        </w:rPr>
      </w:pPr>
    </w:p>
    <w:p w14:paraId="487E7078" w14:textId="77777777" w:rsidR="00F22C3E" w:rsidRDefault="00F3225A">
      <w:pPr>
        <w:pStyle w:val="BodyText"/>
        <w:spacing w:before="90" w:line="480" w:lineRule="auto"/>
        <w:ind w:left="100" w:right="535" w:firstLine="720"/>
      </w:pPr>
      <w:r>
        <w:t>A motion to reconsider shall specify the errors of law or fact in the previous order and shall be supported by pertinent authority. INA § 240(c)(6)(C); 8 C.F.R. § 1003.3(b)(1). In general, a respondent may file one motion to reconsider within 30 days of the date of a final removal order. INA § 240(c)(6)(A)&amp;(B), 8 C.F.R. § 1003.2(b)(2).</w:t>
      </w:r>
    </w:p>
    <w:p w14:paraId="35AD976B" w14:textId="77777777" w:rsidR="00F22C3E" w:rsidRDefault="00F3225A">
      <w:pPr>
        <w:pStyle w:val="BodyText"/>
        <w:tabs>
          <w:tab w:val="left" w:pos="2959"/>
        </w:tabs>
        <w:spacing w:line="480" w:lineRule="auto"/>
        <w:ind w:left="100" w:right="609" w:firstLine="720"/>
      </w:pPr>
      <w:r>
        <w:rPr>
          <w:color w:val="FF0000"/>
        </w:rPr>
        <w:t xml:space="preserve">[If motion is filed within 30 days of BIA’s decision] </w:t>
      </w:r>
      <w:r>
        <w:t>The Board issued its decision in Respondent’s case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This motion is timely filed within 30 days of the date of that decision].</w:t>
      </w:r>
    </w:p>
    <w:p w14:paraId="5F96A5F5" w14:textId="77777777" w:rsidR="00F22C3E" w:rsidRDefault="00F22C3E">
      <w:pPr>
        <w:spacing w:line="480" w:lineRule="auto"/>
        <w:sectPr w:rsidR="00F22C3E">
          <w:pgSz w:w="12240" w:h="15840"/>
          <w:pgMar w:top="1360" w:right="1260" w:bottom="1260" w:left="1340" w:header="0" w:footer="1064" w:gutter="0"/>
          <w:cols w:space="720"/>
        </w:sectPr>
      </w:pPr>
    </w:p>
    <w:p w14:paraId="316989C9" w14:textId="77777777" w:rsidR="00F22C3E" w:rsidRDefault="00F3225A">
      <w:pPr>
        <w:pStyle w:val="BodyText"/>
        <w:tabs>
          <w:tab w:val="left" w:pos="4352"/>
        </w:tabs>
        <w:spacing w:before="76" w:line="480" w:lineRule="auto"/>
        <w:ind w:left="100" w:right="237" w:firstLine="720"/>
      </w:pPr>
      <w:r>
        <w:rPr>
          <w:color w:val="FF0000"/>
        </w:rPr>
        <w:lastRenderedPageBreak/>
        <w:t xml:space="preserve">[If more than 30 have elapsed since the date of the Board’s decision] </w:t>
      </w:r>
      <w:r>
        <w:t>The Board issued its decision in Respondent’s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The Board should treat the instant motion as a timely filed statutory motion to reconsider because Respondent merits equitable tolling of the time </w:t>
      </w:r>
      <w:r>
        <w:rPr>
          <w:color w:val="FF0000"/>
        </w:rPr>
        <w:t xml:space="preserve">[if applicable: </w:t>
      </w:r>
      <w:r>
        <w:t>and numeric</w:t>
      </w:r>
      <w:r>
        <w:rPr>
          <w:color w:val="FF0000"/>
        </w:rPr>
        <w:t xml:space="preserve">] </w:t>
      </w:r>
      <w:r>
        <w:t xml:space="preserve">limitations. </w:t>
      </w:r>
      <w:r>
        <w:rPr>
          <w:i/>
        </w:rPr>
        <w:t xml:space="preserve">See </w:t>
      </w:r>
      <w:r>
        <w:t xml:space="preserve">§ IV.B., </w:t>
      </w:r>
      <w:r>
        <w:rPr>
          <w:i/>
        </w:rPr>
        <w:t>infra</w:t>
      </w:r>
      <w:r>
        <w:t xml:space="preserve">; </w:t>
      </w:r>
      <w:r>
        <w:rPr>
          <w:i/>
        </w:rPr>
        <w:t xml:space="preserve">see also </w:t>
      </w:r>
      <w:r>
        <w:t>8 C.F.R. § 1003.1(d)(1)(ii) (“a panel or Board member to whom a case is assigned may take any action consistent with their authorities under the Act and the regulations as is appropriate and</w:t>
      </w:r>
      <w:r>
        <w:rPr>
          <w:spacing w:val="-15"/>
        </w:rPr>
        <w:t xml:space="preserve"> </w:t>
      </w:r>
      <w:r>
        <w:t>necessary for the disposition of the</w:t>
      </w:r>
      <w:r>
        <w:rPr>
          <w:spacing w:val="-2"/>
        </w:rPr>
        <w:t xml:space="preserve"> </w:t>
      </w:r>
      <w:r>
        <w:t>case.”).</w:t>
      </w:r>
    </w:p>
    <w:p w14:paraId="38D7BF6F" w14:textId="77777777" w:rsidR="00F22C3E" w:rsidRDefault="00F3225A">
      <w:pPr>
        <w:pStyle w:val="Heading1"/>
        <w:numPr>
          <w:ilvl w:val="0"/>
          <w:numId w:val="4"/>
        </w:numPr>
        <w:tabs>
          <w:tab w:val="left" w:pos="4426"/>
          <w:tab w:val="left" w:pos="4427"/>
        </w:tabs>
        <w:spacing w:before="4"/>
        <w:ind w:left="4426"/>
        <w:jc w:val="left"/>
      </w:pPr>
      <w:r>
        <w:rPr>
          <w:u w:val="thick"/>
        </w:rPr>
        <w:t>ARGUMENT</w:t>
      </w:r>
    </w:p>
    <w:p w14:paraId="47D7CFE1" w14:textId="77777777" w:rsidR="00F22C3E" w:rsidRDefault="00F22C3E">
      <w:pPr>
        <w:pStyle w:val="BodyText"/>
        <w:spacing w:before="2"/>
        <w:rPr>
          <w:b/>
          <w:sz w:val="16"/>
        </w:rPr>
      </w:pPr>
    </w:p>
    <w:p w14:paraId="3D4EBA50" w14:textId="77777777" w:rsidR="00221EFF" w:rsidRDefault="00F3225A" w:rsidP="00221EF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0"/>
        <w:ind w:right="563"/>
        <w:rPr>
          <w:b/>
          <w:sz w:val="24"/>
        </w:rPr>
      </w:pPr>
      <w:r w:rsidRPr="00221EFF">
        <w:rPr>
          <w:b/>
          <w:sz w:val="24"/>
        </w:rPr>
        <w:t xml:space="preserve">As a Matter of Law, </w:t>
      </w:r>
      <w:r w:rsidR="00221EFF" w:rsidRPr="00221EFF">
        <w:rPr>
          <w:b/>
          <w:sz w:val="24"/>
        </w:rPr>
        <w:t>the Board Erred in Finding the Respondent’s Conviction to be a “Crime of Violence” Aggravated Felony</w:t>
      </w:r>
    </w:p>
    <w:p w14:paraId="104E6529" w14:textId="77777777" w:rsidR="00221EFF" w:rsidRPr="00221EFF" w:rsidRDefault="00221EFF" w:rsidP="00221EFF">
      <w:pPr>
        <w:pStyle w:val="ListParagraph"/>
        <w:tabs>
          <w:tab w:val="left" w:pos="820"/>
          <w:tab w:val="left" w:pos="821"/>
        </w:tabs>
        <w:spacing w:before="90"/>
        <w:ind w:right="563" w:firstLine="0"/>
        <w:rPr>
          <w:b/>
          <w:sz w:val="24"/>
        </w:rPr>
      </w:pPr>
    </w:p>
    <w:p w14:paraId="2A8B7E0F" w14:textId="77777777" w:rsidR="00221EFF" w:rsidRDefault="00221EFF" w:rsidP="00221EFF">
      <w:pPr>
        <w:pStyle w:val="BodyText"/>
        <w:spacing w:line="480" w:lineRule="auto"/>
        <w:ind w:right="228"/>
      </w:pPr>
      <w:r>
        <w:tab/>
      </w:r>
      <w:r w:rsidRPr="005C09ED">
        <w:t xml:space="preserve">In </w:t>
      </w:r>
      <w:r w:rsidRPr="005C09ED">
        <w:rPr>
          <w:i/>
        </w:rPr>
        <w:t>Sessions v. Dimaya</w:t>
      </w:r>
      <w:r w:rsidRPr="005C09ED">
        <w:t xml:space="preserve">, the Supreme Court </w:t>
      </w:r>
      <w:r>
        <w:t xml:space="preserve">held that 18 U.S.C § 16(b), as incorporated in the “crime of violence” aggravated felony definition in </w:t>
      </w:r>
      <w:r w:rsidRPr="005C09ED">
        <w:t>INA § 101(a)(43)(F</w:t>
      </w:r>
      <w:r>
        <w:t xml:space="preserve">), is unconstitutionally void for vagueness.  </w:t>
      </w:r>
      <w:r w:rsidRPr="000B44F5">
        <w:rPr>
          <w:i/>
          <w:iCs/>
        </w:rPr>
        <w:t xml:space="preserve">Sessions v. Dimaya, </w:t>
      </w:r>
      <w:r w:rsidRPr="000B44F5">
        <w:rPr>
          <w:color w:val="000000" w:themeColor="text1"/>
          <w:bdr w:val="none" w:sz="0" w:space="0" w:color="auto" w:frame="1"/>
          <w:shd w:val="clear" w:color="auto" w:fill="FFFFFF"/>
        </w:rPr>
        <w:t>2018 U.S. LEXIS 2497 at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*39.</w:t>
      </w:r>
    </w:p>
    <w:p w14:paraId="446FC6B6" w14:textId="75D60456" w:rsidR="00221EFF" w:rsidRDefault="00221EFF" w:rsidP="00221EFF">
      <w:pPr>
        <w:pStyle w:val="BodyText"/>
        <w:spacing w:line="480" w:lineRule="auto"/>
        <w:ind w:right="228"/>
      </w:pPr>
      <w:r>
        <w:tab/>
        <w:t xml:space="preserve">Under INA </w:t>
      </w:r>
      <w:r w:rsidRPr="005C09ED">
        <w:t>§ 101(a)(43)(F</w:t>
      </w:r>
      <w:r>
        <w:t xml:space="preserve">), an aggravated felony includes “a crime of violence (as defined in section 16 of the title 18, United States Code, but not including a purely political offense) for which the term of imprisonment is at least one year.” Section 16 of title 18 defines a </w:t>
      </w:r>
      <w:r w:rsidR="00314710">
        <w:t>“</w:t>
      </w:r>
      <w:r>
        <w:t>crime of violence</w:t>
      </w:r>
      <w:r w:rsidR="00314710">
        <w:t>”</w:t>
      </w:r>
      <w:r>
        <w:t xml:space="preserve"> as either: </w:t>
      </w:r>
    </w:p>
    <w:p w14:paraId="0F2715FA" w14:textId="77777777" w:rsidR="00221EFF" w:rsidRDefault="00221EFF" w:rsidP="00221EFF">
      <w:pPr>
        <w:pStyle w:val="BodyText"/>
        <w:ind w:left="720" w:right="230"/>
      </w:pPr>
      <w:r>
        <w:t>(a) an offense that has as an element the use, attempted use, or threatened use of</w:t>
      </w:r>
    </w:p>
    <w:p w14:paraId="6982D3D6" w14:textId="77777777" w:rsidR="00221EFF" w:rsidRDefault="00221EFF" w:rsidP="00221EFF">
      <w:pPr>
        <w:pStyle w:val="BodyText"/>
        <w:ind w:left="720" w:right="230"/>
      </w:pPr>
      <w:r>
        <w:t>physical force against the person or property of another, or</w:t>
      </w:r>
    </w:p>
    <w:p w14:paraId="5B05A589" w14:textId="77777777" w:rsidR="00221EFF" w:rsidRDefault="00221EFF" w:rsidP="00221EFF">
      <w:pPr>
        <w:pStyle w:val="BodyText"/>
        <w:ind w:left="720" w:right="230"/>
      </w:pPr>
    </w:p>
    <w:p w14:paraId="02AC6F16" w14:textId="77777777" w:rsidR="00221EFF" w:rsidRDefault="00221EFF" w:rsidP="00221EFF">
      <w:pPr>
        <w:pStyle w:val="BodyText"/>
        <w:ind w:left="720" w:right="230"/>
      </w:pPr>
      <w:r>
        <w:t>(b) any other offense that is a felony and that, by its nature, involves a substantial</w:t>
      </w:r>
    </w:p>
    <w:p w14:paraId="2C2E4B34" w14:textId="77777777" w:rsidR="00221EFF" w:rsidRDefault="00221EFF" w:rsidP="00221EFF">
      <w:pPr>
        <w:pStyle w:val="BodyText"/>
        <w:ind w:left="720" w:right="230"/>
      </w:pPr>
      <w:r>
        <w:t>risk that physical force against the person or property of another may be used</w:t>
      </w:r>
    </w:p>
    <w:p w14:paraId="0707C3D1" w14:textId="77777777" w:rsidR="00221EFF" w:rsidRDefault="00221EFF" w:rsidP="00221EFF">
      <w:pPr>
        <w:pStyle w:val="BodyText"/>
        <w:ind w:left="720" w:right="230"/>
      </w:pPr>
      <w:r>
        <w:t>in the course of committing the offense.</w:t>
      </w:r>
    </w:p>
    <w:p w14:paraId="4FEFDCB3" w14:textId="77777777" w:rsidR="00221EFF" w:rsidRDefault="00221EFF" w:rsidP="00221EFF">
      <w:pPr>
        <w:pStyle w:val="BodyText"/>
        <w:ind w:left="720" w:right="230"/>
      </w:pPr>
    </w:p>
    <w:p w14:paraId="3FF2AC93" w14:textId="77777777" w:rsidR="00221EFF" w:rsidRDefault="00221EFF" w:rsidP="00221EFF">
      <w:pPr>
        <w:pStyle w:val="BodyText"/>
        <w:spacing w:line="480" w:lineRule="auto"/>
        <w:ind w:right="228"/>
      </w:pPr>
      <w:r>
        <w:t xml:space="preserve">18 U.S.C. § 16. </w:t>
      </w:r>
      <w:r w:rsidRPr="00C743A6">
        <w:rPr>
          <w:i/>
          <w:iCs/>
        </w:rPr>
        <w:t>Sessions v. Dimaya</w:t>
      </w:r>
      <w:r>
        <w:t xml:space="preserve"> addresses §16(b). </w:t>
      </w:r>
    </w:p>
    <w:p w14:paraId="5BD34C4E" w14:textId="0A13763E" w:rsidR="00221EFF" w:rsidRDefault="00221EFF" w:rsidP="00221EFF">
      <w:pPr>
        <w:pStyle w:val="BodyText"/>
        <w:spacing w:line="480" w:lineRule="auto"/>
        <w:ind w:right="228"/>
      </w:pPr>
      <w:r>
        <w:tab/>
      </w:r>
      <w:r w:rsidRPr="000B44F5">
        <w:t xml:space="preserve">Mr. </w:t>
      </w:r>
      <w:r>
        <w:t xml:space="preserve">Dimaya </w:t>
      </w:r>
      <w:r w:rsidRPr="000B44F5">
        <w:t>was</w:t>
      </w:r>
      <w:r>
        <w:t xml:space="preserve"> twice</w:t>
      </w:r>
      <w:r w:rsidRPr="000B44F5">
        <w:t xml:space="preserve"> convicted of first-degree burglary under Cal. Penal Code Ann. §§459, 460 (a). </w:t>
      </w:r>
      <w:r w:rsidRPr="000B44F5">
        <w:rPr>
          <w:i/>
          <w:iCs/>
        </w:rPr>
        <w:t xml:space="preserve">Sessions v. Dimaya, </w:t>
      </w:r>
      <w:r w:rsidRPr="000B44F5">
        <w:rPr>
          <w:color w:val="000000" w:themeColor="text1"/>
          <w:bdr w:val="none" w:sz="0" w:space="0" w:color="auto" w:frame="1"/>
          <w:shd w:val="clear" w:color="auto" w:fill="FFFFFF"/>
        </w:rPr>
        <w:t xml:space="preserve">2018 U.S. LEXIS 2497 at </w:t>
      </w:r>
      <w:r>
        <w:rPr>
          <w:color w:val="000000" w:themeColor="text1"/>
          <w:bdr w:val="none" w:sz="0" w:space="0" w:color="auto" w:frame="1"/>
          <w:shd w:val="clear" w:color="auto" w:fill="FFFFFF"/>
        </w:rPr>
        <w:t>*</w:t>
      </w:r>
      <w:r w:rsidRPr="000B44F5">
        <w:rPr>
          <w:color w:val="000000" w:themeColor="text1"/>
          <w:bdr w:val="none" w:sz="0" w:space="0" w:color="auto" w:frame="1"/>
          <w:shd w:val="clear" w:color="auto" w:fill="FFFFFF"/>
        </w:rPr>
        <w:t>12.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After his second conviction, </w:t>
      </w:r>
      <w:r w:rsidRPr="000B44F5">
        <w:rPr>
          <w:color w:val="000000" w:themeColor="text1"/>
          <w:bdr w:val="none" w:sz="0" w:space="0" w:color="auto" w:frame="1"/>
          <w:shd w:val="clear" w:color="auto" w:fill="FFFFFF"/>
        </w:rPr>
        <w:t>DHS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initiated removal proceedings against him and an immigration judge found that his </w:t>
      </w:r>
      <w:r>
        <w:rPr>
          <w:color w:val="000000" w:themeColor="text1"/>
          <w:bdr w:val="none" w:sz="0" w:space="0" w:color="auto" w:frame="1"/>
          <w:shd w:val="clear" w:color="auto" w:fill="FFFFFF"/>
        </w:rPr>
        <w:lastRenderedPageBreak/>
        <w:t xml:space="preserve">conviction was a </w:t>
      </w:r>
      <w:r w:rsidR="00314710">
        <w:rPr>
          <w:color w:val="000000" w:themeColor="text1"/>
          <w:bdr w:val="none" w:sz="0" w:space="0" w:color="auto" w:frame="1"/>
          <w:shd w:val="clear" w:color="auto" w:fill="FFFFFF"/>
        </w:rPr>
        <w:t>“</w:t>
      </w:r>
      <w:r>
        <w:rPr>
          <w:color w:val="000000" w:themeColor="text1"/>
          <w:bdr w:val="none" w:sz="0" w:space="0" w:color="auto" w:frame="1"/>
          <w:shd w:val="clear" w:color="auto" w:fill="FFFFFF"/>
        </w:rPr>
        <w:t>crime of violence</w:t>
      </w:r>
      <w:r w:rsidR="00314710">
        <w:rPr>
          <w:color w:val="000000" w:themeColor="text1"/>
          <w:bdr w:val="none" w:sz="0" w:space="0" w:color="auto" w:frame="1"/>
          <w:shd w:val="clear" w:color="auto" w:fill="FFFFFF"/>
        </w:rPr>
        <w:t>”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under §16(b) and therefore an aggravated felony under </w:t>
      </w:r>
      <w:r w:rsidRPr="00FA5FEF">
        <w:t xml:space="preserve">INA </w:t>
      </w:r>
      <w:r w:rsidRPr="00FA5FEF">
        <w:rPr>
          <w:color w:val="000000" w:themeColor="text1"/>
        </w:rPr>
        <w:t>§ 101(a)(43)(F)</w:t>
      </w:r>
      <w:r>
        <w:rPr>
          <w:color w:val="000000" w:themeColor="text1"/>
        </w:rPr>
        <w:t xml:space="preserve">. </w:t>
      </w:r>
      <w:r>
        <w:rPr>
          <w:i/>
          <w:iCs/>
          <w:color w:val="000000" w:themeColor="text1"/>
        </w:rPr>
        <w:t>Id</w:t>
      </w:r>
      <w:r w:rsidRPr="00AB2F22">
        <w:rPr>
          <w:color w:val="000000" w:themeColor="text1"/>
        </w:rPr>
        <w:t>.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The Board of Immigration Appeals affirmed. </w:t>
      </w:r>
      <w:r>
        <w:rPr>
          <w:i/>
          <w:iCs/>
          <w:color w:val="000000" w:themeColor="text1"/>
        </w:rPr>
        <w:t xml:space="preserve">Id. </w:t>
      </w:r>
      <w:r>
        <w:rPr>
          <w:color w:val="000000" w:themeColor="text1"/>
        </w:rPr>
        <w:t xml:space="preserve">The Ninth Circuit, however, ruled in Mr. Dimaya’s favors holding that </w:t>
      </w:r>
      <w:r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>
        <w:rPr>
          <w:color w:val="000000" w:themeColor="text1"/>
        </w:rPr>
        <w:t xml:space="preserve">16(b) was unconstitutionally void for vagueness. </w:t>
      </w:r>
      <w:r>
        <w:rPr>
          <w:i/>
          <w:iCs/>
          <w:color w:val="000000" w:themeColor="text1"/>
        </w:rPr>
        <w:t xml:space="preserve">Id. </w:t>
      </w:r>
      <w:r>
        <w:rPr>
          <w:color w:val="000000" w:themeColor="text1"/>
        </w:rPr>
        <w:t>at *13.</w:t>
      </w:r>
    </w:p>
    <w:p w14:paraId="5423426C" w14:textId="1464DF55" w:rsidR="00054751" w:rsidRDefault="00221EFF" w:rsidP="00054751">
      <w:pPr>
        <w:pStyle w:val="BodyText"/>
        <w:spacing w:line="480" w:lineRule="auto"/>
        <w:ind w:right="228"/>
      </w:pPr>
      <w:r>
        <w:tab/>
      </w:r>
      <w:r w:rsidRPr="00C31658">
        <w:t xml:space="preserve">The Supreme Court affirmed, finding that the Mr. Dimaya was not deportable for having been convicted of </w:t>
      </w:r>
      <w:r w:rsidR="00314710">
        <w:t>the</w:t>
      </w:r>
      <w:r w:rsidRPr="00C31658">
        <w:t xml:space="preserve"> aggravated felony of </w:t>
      </w:r>
      <w:r w:rsidR="00314710">
        <w:t>“</w:t>
      </w:r>
      <w:r w:rsidRPr="00C31658">
        <w:t>crime of violence</w:t>
      </w:r>
      <w:r w:rsidR="00314710">
        <w:t>”</w:t>
      </w:r>
      <w:r w:rsidRPr="00C31658">
        <w:t xml:space="preserve"> under §16(b). </w:t>
      </w:r>
      <w:r w:rsidRPr="00C31658">
        <w:rPr>
          <w:color w:val="000000" w:themeColor="text1"/>
        </w:rPr>
        <w:t xml:space="preserve">Relying on </w:t>
      </w:r>
      <w:r w:rsidRPr="00C31658">
        <w:rPr>
          <w:i/>
          <w:iCs/>
          <w:color w:val="000000" w:themeColor="text1"/>
        </w:rPr>
        <w:t>Johnson v. United States</w:t>
      </w:r>
      <w:r w:rsidRPr="00C31658">
        <w:rPr>
          <w:color w:val="000000" w:themeColor="text1"/>
        </w:rPr>
        <w:t>, 135 S. Ct. 2551 (2015), which held the similarly worded Armed Career Criminal Act’s (ACCA’s) residual clause to be unconstitutionally void for vagueness, the Court concluded that</w:t>
      </w:r>
      <w:r w:rsidRPr="00C31658">
        <w:t xml:space="preserve"> “§16(b) produces more unpredictability and arbitrariness than the Due Process Clause tolerates.” </w:t>
      </w:r>
      <w:r>
        <w:rPr>
          <w:i/>
          <w:iCs/>
        </w:rPr>
        <w:t xml:space="preserve">Id. </w:t>
      </w:r>
      <w:r>
        <w:t>at *39.</w:t>
      </w:r>
      <w:r w:rsidRPr="00C31658">
        <w:t xml:space="preserve"> Following </w:t>
      </w:r>
      <w:r w:rsidRPr="00C31658">
        <w:rPr>
          <w:i/>
          <w:iCs/>
        </w:rPr>
        <w:t xml:space="preserve">Johnson, </w:t>
      </w:r>
      <w:r w:rsidRPr="00C31658">
        <w:t>the court based it holding on the compounding uncertainties that arise from determining</w:t>
      </w:r>
      <w:r>
        <w:t xml:space="preserve"> both </w:t>
      </w:r>
      <w:r w:rsidRPr="00C31658">
        <w:t>“substantial risk” under § 16(b) and the “nature” of a</w:t>
      </w:r>
      <w:r>
        <w:t>n</w:t>
      </w:r>
      <w:r w:rsidRPr="00C31658">
        <w:t xml:space="preserve"> </w:t>
      </w:r>
      <w:r>
        <w:t xml:space="preserve">offense, which requires </w:t>
      </w:r>
      <w:r w:rsidRPr="00C31658">
        <w:t xml:space="preserve">an inquiry into the “ordinary case” of a crime. </w:t>
      </w:r>
      <w:r>
        <w:rPr>
          <w:i/>
          <w:iCs/>
        </w:rPr>
        <w:t xml:space="preserve">Id. </w:t>
      </w:r>
      <w:r>
        <w:t>*16-22.</w:t>
      </w:r>
    </w:p>
    <w:p w14:paraId="1AE1AFFD" w14:textId="52701E44" w:rsidR="00221EFF" w:rsidRPr="00910B1D" w:rsidRDefault="00680821" w:rsidP="00910B1D">
      <w:pPr>
        <w:pStyle w:val="BodyText"/>
        <w:spacing w:line="480" w:lineRule="auto"/>
        <w:ind w:right="228"/>
        <w:rPr>
          <w:color w:val="FF0000"/>
        </w:rPr>
      </w:pPr>
      <w:r>
        <w:rPr>
          <w:color w:val="FF0000"/>
        </w:rPr>
        <w:tab/>
      </w:r>
      <w:r w:rsidR="00221EFF">
        <w:t xml:space="preserve">Like the petitioner in </w:t>
      </w:r>
      <w:r w:rsidR="00221EFF">
        <w:rPr>
          <w:i/>
        </w:rPr>
        <w:t>Dimaya</w:t>
      </w:r>
      <w:r w:rsidR="00221EFF">
        <w:t xml:space="preserve">, Respondent was charged with and found deportable for a </w:t>
      </w:r>
      <w:r w:rsidR="00221EFF">
        <w:rPr>
          <w:color w:val="000000" w:themeColor="text1"/>
          <w:bdr w:val="none" w:sz="0" w:space="0" w:color="auto" w:frame="1"/>
          <w:shd w:val="clear" w:color="auto" w:fill="FFFFFF"/>
        </w:rPr>
        <w:t>§16(b)</w:t>
      </w:r>
      <w:r w:rsidR="00221EFF">
        <w:t xml:space="preserve"> “crime of violence” aggravated felony under INA § 101(a)(43)(F). </w:t>
      </w:r>
      <w:r w:rsidR="00221EFF">
        <w:rPr>
          <w:i/>
        </w:rPr>
        <w:t xml:space="preserve">See </w:t>
      </w:r>
      <w:r w:rsidR="00221EFF">
        <w:t>BIA Decision at p.</w:t>
      </w:r>
      <w:r w:rsidR="00221EFF">
        <w:rPr>
          <w:u w:val="single"/>
        </w:rPr>
        <w:t xml:space="preserve"> </w:t>
      </w:r>
      <w:r w:rsidR="00BF4741">
        <w:t>.</w:t>
      </w:r>
      <w:r w:rsidR="00221EFF">
        <w:t xml:space="preserve"> In light of the Supreme Court’s decision in </w:t>
      </w:r>
      <w:r w:rsidR="00221EFF">
        <w:rPr>
          <w:i/>
        </w:rPr>
        <w:t>Dimaya</w:t>
      </w:r>
      <w:r w:rsidR="00221EFF">
        <w:rPr>
          <w:iCs/>
        </w:rPr>
        <w:t>,</w:t>
      </w:r>
      <w:r w:rsidR="00221EFF">
        <w:t xml:space="preserve"> the Board should grant reconsideration and terminate removal proceedings against Respondent.</w:t>
      </w:r>
    </w:p>
    <w:p w14:paraId="5F293EEC" w14:textId="77777777" w:rsidR="00F22C3E" w:rsidRPr="00221EFF" w:rsidRDefault="00221EFF" w:rsidP="00221EFF">
      <w:pPr>
        <w:pStyle w:val="BodyText"/>
        <w:spacing w:line="480" w:lineRule="auto"/>
        <w:ind w:left="100" w:right="236" w:firstLine="720"/>
      </w:pPr>
      <w:r>
        <w:rPr>
          <w:color w:val="FF0000"/>
        </w:rPr>
        <w:t>[If more than 30 days have elapsed since the BIA’s decision, insert section B]</w:t>
      </w:r>
    </w:p>
    <w:p w14:paraId="4C5FBE8C" w14:textId="77777777" w:rsidR="00F22C3E" w:rsidRDefault="00F3225A">
      <w:pPr>
        <w:pStyle w:val="Heading1"/>
        <w:numPr>
          <w:ilvl w:val="0"/>
          <w:numId w:val="2"/>
        </w:numPr>
        <w:tabs>
          <w:tab w:val="left" w:pos="821"/>
        </w:tabs>
        <w:spacing w:before="187"/>
        <w:ind w:right="180" w:hanging="720"/>
        <w:jc w:val="both"/>
        <w:rPr>
          <w:b w:val="0"/>
        </w:rPr>
      </w:pPr>
      <w:r>
        <w:t>THE BOARD SHOULD TREAT THE INSTANT MOTION AS A TIMELY FILED STATUTORY MOTION BECAUSE RESPONDENT MERITS EQUITABLE TOLLING OF THE TIME AND NUMERICAL LIMITATIONS</w:t>
      </w:r>
      <w:r>
        <w:rPr>
          <w:b w:val="0"/>
        </w:rPr>
        <w:t>.</w:t>
      </w:r>
    </w:p>
    <w:p w14:paraId="101DE065" w14:textId="77777777" w:rsidR="00F22C3E" w:rsidRDefault="00F22C3E">
      <w:pPr>
        <w:pStyle w:val="BodyText"/>
      </w:pPr>
    </w:p>
    <w:p w14:paraId="65364CDE" w14:textId="77777777" w:rsidR="00F22C3E" w:rsidRDefault="00F3225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rPr>
          <w:b/>
          <w:sz w:val="24"/>
        </w:rPr>
      </w:pPr>
      <w:r>
        <w:rPr>
          <w:b/>
          <w:sz w:val="24"/>
        </w:rPr>
        <w:t>Standard for Equitable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Tolling</w:t>
      </w:r>
    </w:p>
    <w:p w14:paraId="6F2FDA1B" w14:textId="77777777" w:rsidR="00F22C3E" w:rsidRDefault="00F22C3E">
      <w:pPr>
        <w:rPr>
          <w:sz w:val="24"/>
        </w:rPr>
        <w:sectPr w:rsidR="00F22C3E">
          <w:pgSz w:w="12240" w:h="15840"/>
          <w:pgMar w:top="1360" w:right="1260" w:bottom="1260" w:left="1340" w:header="0" w:footer="1064" w:gutter="0"/>
          <w:cols w:space="720"/>
        </w:sectPr>
      </w:pPr>
    </w:p>
    <w:p w14:paraId="19CF2882" w14:textId="77777777" w:rsidR="00F22C3E" w:rsidRDefault="00F3225A">
      <w:pPr>
        <w:pStyle w:val="BodyText"/>
        <w:spacing w:before="76" w:line="480" w:lineRule="auto"/>
        <w:ind w:left="100" w:right="550" w:firstLine="720"/>
      </w:pPr>
      <w:r>
        <w:lastRenderedPageBreak/>
        <w:t>A motion to reconsider must be filed within 30 days of entry of a final administrative order of removal, INA § 240(c)(6)(B), or, under the doctrine of equitable tolling, as soon as practicable after finding out about an extraordinary circumstance that prevented timely filing.</w:t>
      </w:r>
    </w:p>
    <w:p w14:paraId="3B51CFE1" w14:textId="77777777" w:rsidR="00F22C3E" w:rsidRDefault="00F3225A">
      <w:pPr>
        <w:pStyle w:val="BodyText"/>
        <w:spacing w:before="1" w:line="480" w:lineRule="auto"/>
        <w:ind w:left="100" w:right="236" w:firstLine="720"/>
      </w:pPr>
      <w:r>
        <w:t xml:space="preserve">The Supreme Court concisely and repeatedly has articulated the standard for determining whether an individual is “entitled to equitable tolling.” </w:t>
      </w:r>
      <w:r>
        <w:rPr>
          <w:i/>
        </w:rPr>
        <w:t>See</w:t>
      </w:r>
      <w:r>
        <w:t xml:space="preserve">, </w:t>
      </w:r>
      <w:r>
        <w:rPr>
          <w:i/>
        </w:rPr>
        <w:t>e</w:t>
      </w:r>
      <w:r>
        <w:t>.</w:t>
      </w:r>
      <w:r>
        <w:rPr>
          <w:i/>
        </w:rPr>
        <w:t>g</w:t>
      </w:r>
      <w:r>
        <w:t xml:space="preserve">., </w:t>
      </w:r>
      <w:r>
        <w:rPr>
          <w:i/>
        </w:rPr>
        <w:t>Holland v. Florida</w:t>
      </w:r>
      <w:r>
        <w:t>, 560 U.S.</w:t>
      </w:r>
    </w:p>
    <w:p w14:paraId="4CA0BD9C" w14:textId="77777777" w:rsidR="00F22C3E" w:rsidRDefault="00F3225A">
      <w:pPr>
        <w:spacing w:line="480" w:lineRule="auto"/>
        <w:ind w:left="100" w:right="173"/>
        <w:rPr>
          <w:sz w:val="24"/>
        </w:rPr>
      </w:pPr>
      <w:r>
        <w:rPr>
          <w:sz w:val="24"/>
        </w:rPr>
        <w:t xml:space="preserve">631, 632 (2010). Specifically, an individual must show “‘(1) that he has been pursuing his rights diligently, and (2) that some extraordinary circumstance stood in his way’ and prevented timely filing.” </w:t>
      </w:r>
      <w:r>
        <w:rPr>
          <w:i/>
          <w:sz w:val="24"/>
        </w:rPr>
        <w:t xml:space="preserve">Id. </w:t>
      </w:r>
      <w:r>
        <w:rPr>
          <w:sz w:val="24"/>
        </w:rPr>
        <w:t xml:space="preserve">(quoting </w:t>
      </w:r>
      <w:r>
        <w:rPr>
          <w:i/>
          <w:sz w:val="24"/>
        </w:rPr>
        <w:t>Pace v. DiGuglielmo</w:t>
      </w:r>
      <w:r>
        <w:rPr>
          <w:sz w:val="24"/>
        </w:rPr>
        <w:t xml:space="preserve">, 544 U.S. 408, 418 (2005)). </w:t>
      </w:r>
      <w:r>
        <w:rPr>
          <w:i/>
          <w:sz w:val="24"/>
        </w:rPr>
        <w:t>See also Credit Suisse Securities (USA) LLC v. Simmonds</w:t>
      </w:r>
      <w:r>
        <w:rPr>
          <w:sz w:val="24"/>
        </w:rPr>
        <w:t xml:space="preserve">, 132 S. Ct. 1414, 1419 (2012); </w:t>
      </w:r>
      <w:r>
        <w:rPr>
          <w:i/>
          <w:sz w:val="24"/>
        </w:rPr>
        <w:t>Lawrence v. Florida</w:t>
      </w:r>
      <w:r>
        <w:rPr>
          <w:sz w:val="24"/>
        </w:rPr>
        <w:t>, 549 U.S. 327, 336 (2007). The Supreme Court also requires that those seeking equitable tolling pursue</w:t>
      </w:r>
    </w:p>
    <w:p w14:paraId="4D96DF77" w14:textId="77777777" w:rsidR="00F22C3E" w:rsidRDefault="00F3225A">
      <w:pPr>
        <w:pStyle w:val="BodyText"/>
        <w:spacing w:line="480" w:lineRule="auto"/>
        <w:ind w:left="100" w:right="709"/>
      </w:pPr>
      <w:r>
        <w:t xml:space="preserve">their claims with “reasonable diligence,” but they need not demonstrate “maximum feasible diligence.” </w:t>
      </w:r>
      <w:r>
        <w:rPr>
          <w:i/>
        </w:rPr>
        <w:t>Holland</w:t>
      </w:r>
      <w:r>
        <w:t>, 560 U.S. at 653 (internal quotations omitted).</w:t>
      </w:r>
    </w:p>
    <w:p w14:paraId="3007B13F" w14:textId="77777777" w:rsidR="00F22C3E" w:rsidRDefault="00F3225A">
      <w:pPr>
        <w:pStyle w:val="BodyText"/>
        <w:spacing w:line="480" w:lineRule="auto"/>
        <w:ind w:left="100" w:right="202" w:firstLine="720"/>
        <w:rPr>
          <w:i/>
        </w:rPr>
      </w:pPr>
      <w:r>
        <w:t xml:space="preserve">The Supreme Court also has recognized a rebuttable presumption that equitable tolling is read into every federal statute of limitations. </w:t>
      </w:r>
      <w:r>
        <w:rPr>
          <w:i/>
        </w:rPr>
        <w:t>Holland</w:t>
      </w:r>
      <w:r>
        <w:t xml:space="preserve">, 560 U.S. at 631. Thus, ten courts of appeals have recognized that motion deadlines in immigration cases are subject to equitable tolling. </w:t>
      </w:r>
      <w:r>
        <w:rPr>
          <w:i/>
        </w:rPr>
        <w:t>See Iavorski v. INS</w:t>
      </w:r>
      <w:r>
        <w:t xml:space="preserve">, 232 F.3d 124, 134 (2d Cir. 2000) (Sotomayor, J.); </w:t>
      </w:r>
      <w:r>
        <w:rPr>
          <w:i/>
        </w:rPr>
        <w:t>Borges v.</w:t>
      </w:r>
    </w:p>
    <w:p w14:paraId="32278FA2" w14:textId="77777777" w:rsidR="00F22C3E" w:rsidRDefault="00F3225A">
      <w:pPr>
        <w:spacing w:line="275" w:lineRule="exact"/>
        <w:ind w:left="100"/>
        <w:rPr>
          <w:sz w:val="24"/>
        </w:rPr>
      </w:pPr>
      <w:r>
        <w:rPr>
          <w:i/>
          <w:sz w:val="24"/>
        </w:rPr>
        <w:t>Gonzales</w:t>
      </w:r>
      <w:r>
        <w:rPr>
          <w:sz w:val="24"/>
        </w:rPr>
        <w:t xml:space="preserve">, 402 F.3d 398, 407 (3d Cir. 2005); </w:t>
      </w:r>
      <w:r>
        <w:rPr>
          <w:i/>
          <w:sz w:val="24"/>
        </w:rPr>
        <w:t>Kuusk v. Holder</w:t>
      </w:r>
      <w:r>
        <w:rPr>
          <w:sz w:val="24"/>
        </w:rPr>
        <w:t>, 732 F.3d 302, 305 (4th Cir. 2013);</w:t>
      </w:r>
    </w:p>
    <w:p w14:paraId="32BE1A36" w14:textId="77777777" w:rsidR="00F22C3E" w:rsidRDefault="00F22C3E">
      <w:pPr>
        <w:pStyle w:val="BodyText"/>
      </w:pPr>
    </w:p>
    <w:p w14:paraId="420053B9" w14:textId="77777777" w:rsidR="00F22C3E" w:rsidRDefault="00F3225A">
      <w:pPr>
        <w:ind w:left="100"/>
        <w:rPr>
          <w:sz w:val="24"/>
        </w:rPr>
      </w:pPr>
      <w:r>
        <w:rPr>
          <w:i/>
          <w:sz w:val="24"/>
        </w:rPr>
        <w:t>Lugo-Resendez v. Lynch</w:t>
      </w:r>
      <w:r>
        <w:rPr>
          <w:sz w:val="24"/>
        </w:rPr>
        <w:t xml:space="preserve">, </w:t>
      </w:r>
      <w:r>
        <w:rPr>
          <w:color w:val="202020"/>
          <w:sz w:val="24"/>
        </w:rPr>
        <w:t xml:space="preserve">831 F.3d 337, 344 (5th Cir. 2016); </w:t>
      </w:r>
      <w:r>
        <w:rPr>
          <w:i/>
          <w:sz w:val="24"/>
        </w:rPr>
        <w:t>Mezo v. Holder</w:t>
      </w:r>
      <w:r>
        <w:rPr>
          <w:sz w:val="24"/>
        </w:rPr>
        <w:t>, 615 F.3d 616, 620</w:t>
      </w:r>
    </w:p>
    <w:p w14:paraId="2198AC56" w14:textId="77777777" w:rsidR="00F22C3E" w:rsidRDefault="00F22C3E">
      <w:pPr>
        <w:pStyle w:val="BodyText"/>
      </w:pPr>
    </w:p>
    <w:p w14:paraId="791827B2" w14:textId="77777777" w:rsidR="00F22C3E" w:rsidRDefault="00F3225A">
      <w:pPr>
        <w:ind w:left="100"/>
        <w:rPr>
          <w:i/>
          <w:sz w:val="24"/>
        </w:rPr>
      </w:pPr>
      <w:r>
        <w:rPr>
          <w:sz w:val="24"/>
        </w:rPr>
        <w:t xml:space="preserve">(6th Cir. 2010); </w:t>
      </w:r>
      <w:r>
        <w:rPr>
          <w:i/>
          <w:sz w:val="24"/>
        </w:rPr>
        <w:t>Pervaiz v. Gonzales</w:t>
      </w:r>
      <w:r>
        <w:rPr>
          <w:sz w:val="24"/>
        </w:rPr>
        <w:t xml:space="preserve">, 405 F.3d 488, 489 (7th Cir. 2005); </w:t>
      </w:r>
      <w:r>
        <w:rPr>
          <w:i/>
          <w:sz w:val="24"/>
        </w:rPr>
        <w:t>Ortega-Marroquin v.</w:t>
      </w:r>
    </w:p>
    <w:p w14:paraId="2EB7CA4E" w14:textId="77777777" w:rsidR="00F22C3E" w:rsidRDefault="00F22C3E">
      <w:pPr>
        <w:pStyle w:val="BodyText"/>
        <w:rPr>
          <w:i/>
        </w:rPr>
      </w:pPr>
    </w:p>
    <w:p w14:paraId="5BD8E8E0" w14:textId="77777777" w:rsidR="00F22C3E" w:rsidRDefault="00F3225A">
      <w:pPr>
        <w:spacing w:before="1"/>
        <w:ind w:left="100"/>
        <w:rPr>
          <w:sz w:val="24"/>
        </w:rPr>
      </w:pPr>
      <w:r>
        <w:rPr>
          <w:i/>
          <w:sz w:val="24"/>
        </w:rPr>
        <w:t>Holder</w:t>
      </w:r>
      <w:r>
        <w:rPr>
          <w:sz w:val="24"/>
        </w:rPr>
        <w:t xml:space="preserve">, 640 F.3d 814, 819-20 (8th Cir. 2011); </w:t>
      </w:r>
      <w:r>
        <w:rPr>
          <w:i/>
          <w:sz w:val="24"/>
        </w:rPr>
        <w:t>Socop-Gonzalez v. INS</w:t>
      </w:r>
      <w:r>
        <w:rPr>
          <w:sz w:val="24"/>
        </w:rPr>
        <w:t>, 272 F.3d 1176, 1184-85</w:t>
      </w:r>
    </w:p>
    <w:p w14:paraId="2B6AD1B6" w14:textId="77777777" w:rsidR="00F22C3E" w:rsidRDefault="00F22C3E">
      <w:pPr>
        <w:pStyle w:val="BodyText"/>
        <w:spacing w:before="11"/>
        <w:rPr>
          <w:sz w:val="23"/>
        </w:rPr>
      </w:pPr>
    </w:p>
    <w:p w14:paraId="3BFC0204" w14:textId="77777777" w:rsidR="00F22C3E" w:rsidRDefault="00F3225A">
      <w:pPr>
        <w:ind w:left="100"/>
        <w:rPr>
          <w:sz w:val="24"/>
        </w:rPr>
      </w:pPr>
      <w:r>
        <w:rPr>
          <w:sz w:val="24"/>
        </w:rPr>
        <w:t xml:space="preserve">(9th Cir. 2001); </w:t>
      </w:r>
      <w:r>
        <w:rPr>
          <w:i/>
          <w:sz w:val="24"/>
        </w:rPr>
        <w:t>Riley v. INS</w:t>
      </w:r>
      <w:r>
        <w:rPr>
          <w:sz w:val="24"/>
        </w:rPr>
        <w:t xml:space="preserve">, 310 F.3d 1253, 1258 (10th Cir. 2002); </w:t>
      </w:r>
      <w:r>
        <w:rPr>
          <w:i/>
          <w:sz w:val="24"/>
        </w:rPr>
        <w:t>Avila-Santoyo v. AG</w:t>
      </w:r>
      <w:r>
        <w:rPr>
          <w:sz w:val="24"/>
        </w:rPr>
        <w:t>, 713</w:t>
      </w:r>
    </w:p>
    <w:p w14:paraId="4DE6378F" w14:textId="77777777" w:rsidR="00F22C3E" w:rsidRDefault="00F22C3E">
      <w:pPr>
        <w:pStyle w:val="BodyText"/>
      </w:pPr>
    </w:p>
    <w:p w14:paraId="13EE3634" w14:textId="77777777" w:rsidR="00F22C3E" w:rsidRDefault="00F3225A">
      <w:pPr>
        <w:pStyle w:val="BodyText"/>
        <w:spacing w:line="480" w:lineRule="auto"/>
        <w:ind w:left="100" w:right="427"/>
      </w:pPr>
      <w:r>
        <w:t xml:space="preserve">F.3d 1357, 1363 n.5 (11th Cir. 2013) (en banc); </w:t>
      </w:r>
      <w:r>
        <w:rPr>
          <w:i/>
        </w:rPr>
        <w:t>cf</w:t>
      </w:r>
      <w:r>
        <w:t xml:space="preserve">. </w:t>
      </w:r>
      <w:r>
        <w:rPr>
          <w:i/>
        </w:rPr>
        <w:t>Bolieiro v. Holder</w:t>
      </w:r>
      <w:r>
        <w:t>, 731 F.3d 32, 39 n.7 (1st Cir. 2013) (“Notably, every circuit that has addressed the issue thus far has held that equitable</w:t>
      </w:r>
    </w:p>
    <w:p w14:paraId="34A226C8" w14:textId="77777777" w:rsidR="00F22C3E" w:rsidRDefault="00F22C3E">
      <w:pPr>
        <w:spacing w:line="480" w:lineRule="auto"/>
        <w:sectPr w:rsidR="00F22C3E">
          <w:pgSz w:w="12240" w:h="15840"/>
          <w:pgMar w:top="1360" w:right="1260" w:bottom="1260" w:left="1340" w:header="0" w:footer="1064" w:gutter="0"/>
          <w:cols w:space="720"/>
        </w:sectPr>
      </w:pPr>
    </w:p>
    <w:p w14:paraId="4BB6A1D8" w14:textId="77777777" w:rsidR="00F22C3E" w:rsidRDefault="00F3225A">
      <w:pPr>
        <w:pStyle w:val="BodyText"/>
        <w:spacing w:before="76" w:line="480" w:lineRule="auto"/>
        <w:ind w:left="100" w:right="202"/>
      </w:pPr>
      <w:r>
        <w:lastRenderedPageBreak/>
        <w:t>tolling applies to . . . limits to filing motions to reopen.”). [</w:t>
      </w:r>
      <w:r>
        <w:rPr>
          <w:color w:val="FF0000"/>
        </w:rPr>
        <w:t>If applicable</w:t>
      </w:r>
      <w:r>
        <w:t xml:space="preserve">] Similarly, federal courts recognize that the numeric limit on motions is subject to tolling. </w:t>
      </w:r>
      <w:r>
        <w:rPr>
          <w:i/>
        </w:rPr>
        <w:t>See Jin Bo Zhao v. INS</w:t>
      </w:r>
      <w:r>
        <w:t xml:space="preserve">, 452 F.3d 154 (2d Cir. 2006); </w:t>
      </w:r>
      <w:r>
        <w:rPr>
          <w:i/>
        </w:rPr>
        <w:t>Rodriguez-Lariz v. INS</w:t>
      </w:r>
      <w:r>
        <w:t xml:space="preserve">, 282 F.3d 1218 (9th Cir. 2002) Thus, the time </w:t>
      </w:r>
      <w:r>
        <w:rPr>
          <w:color w:val="FF0000"/>
        </w:rPr>
        <w:t xml:space="preserve">and numeric </w:t>
      </w:r>
      <w:r>
        <w:t>limitations on motions to reconsider at issue in this case are subject to equitable tolling.</w:t>
      </w:r>
    </w:p>
    <w:p w14:paraId="386BB77B" w14:textId="77777777" w:rsidR="00F22C3E" w:rsidRDefault="00F3225A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spacing w:before="3"/>
        <w:ind w:right="824"/>
      </w:pPr>
      <w:r>
        <w:t xml:space="preserve">Respondent Is Diligently Pursuing </w:t>
      </w:r>
      <w:r>
        <w:rPr>
          <w:color w:val="FF0000"/>
        </w:rPr>
        <w:t xml:space="preserve">[Her/His] </w:t>
      </w:r>
      <w:r>
        <w:t>Rights and Extraordinary Circumstances Prevented Timely Filing of this</w:t>
      </w:r>
      <w:r>
        <w:rPr>
          <w:spacing w:val="-3"/>
        </w:rPr>
        <w:t xml:space="preserve"> </w:t>
      </w:r>
      <w:r>
        <w:t>Motion.</w:t>
      </w:r>
    </w:p>
    <w:p w14:paraId="176AC5A0" w14:textId="77777777" w:rsidR="00F22C3E" w:rsidRDefault="00F22C3E">
      <w:pPr>
        <w:pStyle w:val="BodyText"/>
        <w:spacing w:before="9"/>
        <w:rPr>
          <w:b/>
          <w:sz w:val="23"/>
        </w:rPr>
      </w:pPr>
    </w:p>
    <w:p w14:paraId="762C39BA" w14:textId="77777777" w:rsidR="00F22C3E" w:rsidRDefault="00F3225A">
      <w:pPr>
        <w:pStyle w:val="BodyText"/>
        <w:spacing w:before="1" w:line="480" w:lineRule="auto"/>
        <w:ind w:left="100" w:right="562" w:firstLine="720"/>
      </w:pPr>
      <w:r>
        <w:t xml:space="preserve">The Supreme Court’s decision in </w:t>
      </w:r>
      <w:r w:rsidR="009F7EE7">
        <w:rPr>
          <w:i/>
        </w:rPr>
        <w:t>Dimaya</w:t>
      </w:r>
      <w:r>
        <w:rPr>
          <w:i/>
        </w:rPr>
        <w:t xml:space="preserve"> </w:t>
      </w:r>
      <w:r>
        <w:t xml:space="preserve">constituted an extraordinary circumstance that prevented Respondent from timely filing a motion to reconsider and </w:t>
      </w:r>
      <w:r>
        <w:rPr>
          <w:color w:val="FF0000"/>
        </w:rPr>
        <w:t xml:space="preserve">he/she </w:t>
      </w:r>
      <w:r>
        <w:t xml:space="preserve">pursued </w:t>
      </w:r>
      <w:r>
        <w:rPr>
          <w:color w:val="FF0000"/>
        </w:rPr>
        <w:t xml:space="preserve">his/her </w:t>
      </w:r>
      <w:r>
        <w:t>case with reasonable diligence. Equitable tolling of the motion to reconsider deadline is warranted in this case.</w:t>
      </w:r>
    </w:p>
    <w:p w14:paraId="19AF9407" w14:textId="77777777" w:rsidR="000C617D" w:rsidRDefault="00F3225A" w:rsidP="000C617D">
      <w:pPr>
        <w:pStyle w:val="BodyText"/>
        <w:spacing w:line="480" w:lineRule="auto"/>
        <w:ind w:left="100" w:right="755" w:firstLine="720"/>
      </w:pPr>
      <w:r>
        <w:t xml:space="preserve">The Supreme Court’s decision in </w:t>
      </w:r>
      <w:r w:rsidR="000C617D">
        <w:rPr>
          <w:i/>
        </w:rPr>
        <w:t>Dimaya</w:t>
      </w:r>
      <w:r>
        <w:rPr>
          <w:i/>
        </w:rPr>
        <w:t xml:space="preserve"> </w:t>
      </w:r>
      <w:r w:rsidR="000C617D">
        <w:t>abrogates</w:t>
      </w:r>
      <w:r>
        <w:t xml:space="preserve"> the Board’s erroneous </w:t>
      </w:r>
      <w:r w:rsidR="000C617D">
        <w:t xml:space="preserve">finding that </w:t>
      </w:r>
      <w:r w:rsidR="000C617D">
        <w:rPr>
          <w:color w:val="FF0000"/>
        </w:rPr>
        <w:t xml:space="preserve">his/her </w:t>
      </w:r>
      <w:r w:rsidR="000C617D">
        <w:t xml:space="preserve">conviction was an aggravated felony under INA § 101(a)(43)(F). This extraordinary circumstance prevented Respondent from timely filing </w:t>
      </w:r>
      <w:r w:rsidR="000C617D">
        <w:rPr>
          <w:color w:val="FF0000"/>
        </w:rPr>
        <w:t xml:space="preserve">his/her </w:t>
      </w:r>
      <w:r w:rsidR="000C617D">
        <w:t>motion to reconsider.</w:t>
      </w:r>
    </w:p>
    <w:p w14:paraId="7FCE82F7" w14:textId="77777777" w:rsidR="00F22C3E" w:rsidRDefault="000C617D">
      <w:pPr>
        <w:pStyle w:val="BodyText"/>
        <w:spacing w:line="480" w:lineRule="auto"/>
        <w:ind w:left="100" w:firstLine="720"/>
      </w:pPr>
      <w:r>
        <w:rPr>
          <w:i/>
        </w:rPr>
        <w:t>Dimaya</w:t>
      </w:r>
      <w:r w:rsidR="00F3225A">
        <w:rPr>
          <w:i/>
        </w:rPr>
        <w:t xml:space="preserve"> </w:t>
      </w:r>
      <w:r w:rsidR="00F3225A">
        <w:t xml:space="preserve">was decided on </w:t>
      </w:r>
      <w:r>
        <w:t>April 17, 2018</w:t>
      </w:r>
      <w:r w:rsidR="00F3225A">
        <w:t xml:space="preserve">. Respondent has exhibited the requisite diligence both before and after learning of the decision. </w:t>
      </w:r>
      <w:r w:rsidR="00F3225A">
        <w:rPr>
          <w:color w:val="FF0000"/>
        </w:rPr>
        <w:t xml:space="preserve">She/he </w:t>
      </w:r>
      <w:r w:rsidR="00F3225A">
        <w:t>first learned of the decision on</w:t>
      </w:r>
    </w:p>
    <w:p w14:paraId="3083474D" w14:textId="77777777" w:rsidR="00F22C3E" w:rsidRDefault="00F3225A">
      <w:pPr>
        <w:pStyle w:val="BodyText"/>
        <w:tabs>
          <w:tab w:val="left" w:pos="1474"/>
          <w:tab w:val="left" w:pos="3587"/>
          <w:tab w:val="left" w:pos="3619"/>
          <w:tab w:val="left" w:pos="3919"/>
        </w:tabs>
        <w:spacing w:line="480" w:lineRule="auto"/>
        <w:ind w:left="100" w:right="3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when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tab/>
      </w:r>
      <w:r>
        <w:rPr>
          <w:i/>
        </w:rPr>
        <w:t xml:space="preserve">See </w:t>
      </w:r>
      <w:r>
        <w:rPr>
          <w:color w:val="FF0000"/>
        </w:rPr>
        <w:t xml:space="preserve">Declaration of Respondent. She/he </w:t>
      </w:r>
      <w:r>
        <w:t>is filing the instant motion to</w:t>
      </w:r>
      <w:r>
        <w:rPr>
          <w:spacing w:val="-3"/>
        </w:rPr>
        <w:t xml:space="preserve"> </w:t>
      </w:r>
      <w:r>
        <w:t>reopen</w:t>
      </w:r>
      <w:r>
        <w:rPr>
          <w:spacing w:val="-1"/>
        </w:rPr>
        <w:t xml:space="preserve"> </w:t>
      </w:r>
      <w:r>
        <w:t>within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days of discovering that </w:t>
      </w:r>
      <w:r>
        <w:rPr>
          <w:color w:val="FF0000"/>
        </w:rPr>
        <w:t xml:space="preserve">[she/he] </w:t>
      </w:r>
      <w:r>
        <w:t xml:space="preserve">is not deportable </w:t>
      </w:r>
      <w:r>
        <w:rPr>
          <w:color w:val="FF0000"/>
        </w:rPr>
        <w:t xml:space="preserve">[insert if true] </w:t>
      </w:r>
      <w:r>
        <w:t>and within 30 days of the Supreme Court decision. As set forth in</w:t>
      </w:r>
      <w:r>
        <w:rPr>
          <w:spacing w:val="-7"/>
        </w:rPr>
        <w:t xml:space="preserve"> </w:t>
      </w:r>
      <w:r>
        <w:t>Respondent’s</w:t>
      </w:r>
    </w:p>
    <w:p w14:paraId="37531B55" w14:textId="77777777" w:rsidR="00F22C3E" w:rsidRDefault="00F3225A">
      <w:pPr>
        <w:pStyle w:val="BodyText"/>
        <w:ind w:left="100"/>
      </w:pPr>
      <w:r>
        <w:t>accompanying declaration, Respondent attempted to challenge the Immigration Judge’s decision</w:t>
      </w:r>
    </w:p>
    <w:p w14:paraId="0A4C54DD" w14:textId="77777777" w:rsidR="00F22C3E" w:rsidRDefault="00F22C3E">
      <w:pPr>
        <w:sectPr w:rsidR="00F22C3E">
          <w:pgSz w:w="12240" w:h="15840"/>
          <w:pgMar w:top="1360" w:right="1260" w:bottom="1260" w:left="1340" w:header="0" w:footer="1064" w:gutter="0"/>
          <w:cols w:space="720"/>
        </w:sectPr>
      </w:pPr>
    </w:p>
    <w:p w14:paraId="2D60529E" w14:textId="77777777" w:rsidR="00F22C3E" w:rsidRDefault="00F3225A">
      <w:pPr>
        <w:pStyle w:val="BodyText"/>
        <w:spacing w:before="76"/>
        <w:ind w:left="100"/>
      </w:pPr>
      <w:r>
        <w:lastRenderedPageBreak/>
        <w:t xml:space="preserve">by appealing the decision to this Board, </w:t>
      </w:r>
      <w:r>
        <w:rPr>
          <w:color w:val="FF0000"/>
        </w:rPr>
        <w:t xml:space="preserve">[if applicable] </w:t>
      </w:r>
      <w:r>
        <w:t>and later via Petition for Review to the</w:t>
      </w:r>
    </w:p>
    <w:p w14:paraId="634E30F1" w14:textId="77777777" w:rsidR="00F22C3E" w:rsidRDefault="00F22C3E">
      <w:pPr>
        <w:pStyle w:val="BodyText"/>
      </w:pPr>
    </w:p>
    <w:p w14:paraId="49B87A92" w14:textId="77777777" w:rsidR="00F22C3E" w:rsidRDefault="00F3225A">
      <w:pPr>
        <w:pStyle w:val="BodyText"/>
        <w:tabs>
          <w:tab w:val="left" w:pos="3649"/>
        </w:tabs>
        <w:spacing w:line="480" w:lineRule="auto"/>
        <w:ind w:left="100" w:right="200"/>
      </w:pPr>
      <w:r>
        <w:t>U.S. Court of Appeals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Circuit. </w:t>
      </w:r>
      <w:r>
        <w:rPr>
          <w:color w:val="FF0000"/>
        </w:rPr>
        <w:t xml:space="preserve">[If Respondent did not seek circuit review, explain the reason why and support claims with corroborating evidence if possible; If Respondent sought review, explained what happened]. [Include any other steps Respondent took to pursue case prior to the </w:t>
      </w:r>
      <w:r w:rsidR="000C617D">
        <w:rPr>
          <w:i/>
          <w:color w:val="FF0000"/>
        </w:rPr>
        <w:t>Dimaya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decision including contacting attorneys.] </w:t>
      </w:r>
      <w:r>
        <w:t xml:space="preserve">Respondent is filing this motion as soon as practicable after finding out about the decision and has displayed reasonable diligence in pursuing </w:t>
      </w:r>
      <w:r>
        <w:rPr>
          <w:color w:val="FF0000"/>
        </w:rPr>
        <w:t>his/her</w:t>
      </w:r>
      <w:r>
        <w:rPr>
          <w:color w:val="FF0000"/>
          <w:spacing w:val="-1"/>
        </w:rPr>
        <w:t xml:space="preserve"> </w:t>
      </w:r>
      <w:r>
        <w:t>rights.</w:t>
      </w:r>
    </w:p>
    <w:p w14:paraId="454317E4" w14:textId="77777777" w:rsidR="00F22C3E" w:rsidRDefault="00F3225A">
      <w:pPr>
        <w:pStyle w:val="Heading1"/>
        <w:numPr>
          <w:ilvl w:val="0"/>
          <w:numId w:val="2"/>
        </w:numPr>
        <w:tabs>
          <w:tab w:val="left" w:pos="820"/>
          <w:tab w:val="left" w:pos="821"/>
          <w:tab w:val="left" w:pos="1429"/>
          <w:tab w:val="left" w:pos="2280"/>
          <w:tab w:val="left" w:pos="4443"/>
          <w:tab w:val="left" w:pos="5292"/>
          <w:tab w:val="left" w:pos="6501"/>
          <w:tab w:val="left" w:pos="7858"/>
        </w:tabs>
        <w:spacing w:before="6" w:line="237" w:lineRule="auto"/>
        <w:ind w:right="180" w:hanging="720"/>
        <w:rPr>
          <w:b w:val="0"/>
        </w:rPr>
      </w:pPr>
      <w:r>
        <w:t>IN</w:t>
      </w:r>
      <w:r>
        <w:tab/>
        <w:t>THE</w:t>
      </w:r>
      <w:r>
        <w:tab/>
        <w:t>ALTERNATIVE,</w:t>
      </w:r>
      <w:r>
        <w:tab/>
        <w:t>THE</w:t>
      </w:r>
      <w:r>
        <w:tab/>
        <w:t>BOARD</w:t>
      </w:r>
      <w:r>
        <w:tab/>
        <w:t>SHOULD</w:t>
      </w:r>
      <w:r>
        <w:tab/>
        <w:t>RECONSIDER</w:t>
      </w:r>
      <w:r>
        <w:rPr>
          <w:w w:val="99"/>
        </w:rPr>
        <w:t xml:space="preserve"> </w:t>
      </w:r>
      <w:r>
        <w:t>RESPONDENT’S REMOVAL ORDER SUA</w:t>
      </w:r>
      <w:r>
        <w:rPr>
          <w:spacing w:val="-3"/>
        </w:rPr>
        <w:t xml:space="preserve"> </w:t>
      </w:r>
      <w:r>
        <w:t>SPONTE</w:t>
      </w:r>
      <w:r>
        <w:rPr>
          <w:b w:val="0"/>
        </w:rPr>
        <w:t>.</w:t>
      </w:r>
    </w:p>
    <w:p w14:paraId="39F87266" w14:textId="77777777" w:rsidR="00F22C3E" w:rsidRDefault="00F22C3E">
      <w:pPr>
        <w:pStyle w:val="BodyText"/>
        <w:spacing w:before="1"/>
      </w:pPr>
    </w:p>
    <w:p w14:paraId="0B499477" w14:textId="77777777" w:rsidR="00F22C3E" w:rsidRDefault="00F3225A">
      <w:pPr>
        <w:pStyle w:val="BodyText"/>
        <w:spacing w:line="480" w:lineRule="auto"/>
        <w:ind w:left="100" w:right="176" w:firstLine="720"/>
        <w:jc w:val="both"/>
      </w:pPr>
      <w:r>
        <w:t xml:space="preserve">An immigration judge or the Board may reopen or reconsider a case on its own motion at any time. </w:t>
      </w:r>
      <w:r>
        <w:rPr>
          <w:i/>
        </w:rPr>
        <w:t xml:space="preserve">See </w:t>
      </w:r>
      <w:r>
        <w:t xml:space="preserve">8 C.F.R. §§ 1003.23(b)(1); 1003.2(a). The Board invokes its authority to reopen or reconsider a case following fundamental changes in law. </w:t>
      </w:r>
      <w:r>
        <w:rPr>
          <w:i/>
        </w:rPr>
        <w:t>See Matter of G-D-</w:t>
      </w:r>
      <w:r>
        <w:t xml:space="preserve">, 22 I&amp;N Dec. 1132, 1135 (BIA 1999). The Supreme Court’s decision in </w:t>
      </w:r>
      <w:r w:rsidR="000C617D">
        <w:rPr>
          <w:i/>
        </w:rPr>
        <w:t>Dimaya</w:t>
      </w:r>
      <w:r>
        <w:rPr>
          <w:i/>
        </w:rPr>
        <w:t xml:space="preserve"> </w:t>
      </w:r>
      <w:r>
        <w:t xml:space="preserve">amounts to a fundamental change in law warranting sua sponte reopening or reconsideration. </w:t>
      </w:r>
      <w:r>
        <w:rPr>
          <w:i/>
        </w:rPr>
        <w:t xml:space="preserve">See supra </w:t>
      </w:r>
      <w:r>
        <w:t>Section IV.A. Reconsideration is especially warranted in this case because [</w:t>
      </w:r>
      <w:r>
        <w:rPr>
          <w:color w:val="FF0000"/>
        </w:rPr>
        <w:t>include other equitable factors</w:t>
      </w:r>
      <w:r>
        <w:t xml:space="preserve">]. </w:t>
      </w:r>
      <w:r>
        <w:rPr>
          <w:i/>
        </w:rPr>
        <w:t xml:space="preserve">See </w:t>
      </w:r>
      <w:r>
        <w:rPr>
          <w:color w:val="FF0000"/>
        </w:rPr>
        <w:t>Respondent’s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Declaration</w:t>
      </w:r>
      <w:r>
        <w:t>.</w:t>
      </w:r>
    </w:p>
    <w:p w14:paraId="20D151CE" w14:textId="77777777" w:rsidR="00F22C3E" w:rsidRDefault="00F3225A">
      <w:pPr>
        <w:pStyle w:val="Heading1"/>
        <w:numPr>
          <w:ilvl w:val="0"/>
          <w:numId w:val="4"/>
        </w:numPr>
        <w:tabs>
          <w:tab w:val="left" w:pos="4326"/>
          <w:tab w:val="left" w:pos="4327"/>
        </w:tabs>
        <w:spacing w:before="2"/>
        <w:ind w:left="4326"/>
        <w:jc w:val="left"/>
      </w:pPr>
      <w:r>
        <w:rPr>
          <w:u w:val="thick"/>
        </w:rPr>
        <w:t>CONCLUSION</w:t>
      </w:r>
    </w:p>
    <w:p w14:paraId="193C04A2" w14:textId="77777777" w:rsidR="00F22C3E" w:rsidRDefault="00F22C3E">
      <w:pPr>
        <w:pStyle w:val="BodyText"/>
        <w:spacing w:before="11"/>
        <w:rPr>
          <w:b/>
          <w:sz w:val="15"/>
        </w:rPr>
      </w:pPr>
    </w:p>
    <w:p w14:paraId="2E8A888E" w14:textId="77777777" w:rsidR="00F22C3E" w:rsidRDefault="00F3225A">
      <w:pPr>
        <w:pStyle w:val="BodyText"/>
        <w:spacing w:before="90" w:line="480" w:lineRule="auto"/>
        <w:ind w:left="100" w:right="1002" w:firstLine="720"/>
      </w:pPr>
      <w:r>
        <w:t>The Board should reconsider its prior decision in this case and terminate removal proceedings against Respondent.</w:t>
      </w:r>
    </w:p>
    <w:p w14:paraId="13A570ED" w14:textId="77777777" w:rsidR="00F22C3E" w:rsidRDefault="00F22C3E">
      <w:pPr>
        <w:pStyle w:val="BodyText"/>
        <w:rPr>
          <w:sz w:val="20"/>
        </w:rPr>
      </w:pPr>
    </w:p>
    <w:p w14:paraId="4CE9F68F" w14:textId="77777777" w:rsidR="00F22C3E" w:rsidRDefault="00F22C3E">
      <w:pPr>
        <w:pStyle w:val="BodyText"/>
        <w:spacing w:before="2"/>
        <w:rPr>
          <w:sz w:val="20"/>
        </w:rPr>
      </w:pPr>
    </w:p>
    <w:p w14:paraId="46A4AA35" w14:textId="77777777" w:rsidR="00F22C3E" w:rsidRDefault="00F3225A">
      <w:pPr>
        <w:pStyle w:val="BodyText"/>
        <w:tabs>
          <w:tab w:val="left" w:pos="2294"/>
          <w:tab w:val="left" w:pos="3700"/>
        </w:tabs>
        <w:spacing w:before="90"/>
        <w:ind w:left="100"/>
      </w:pPr>
      <w:r>
        <w:t>Dated: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Respectfully</w:t>
      </w:r>
      <w:r>
        <w:rPr>
          <w:spacing w:val="-2"/>
        </w:rPr>
        <w:t xml:space="preserve"> </w:t>
      </w:r>
      <w:r>
        <w:t>submitted,</w:t>
      </w:r>
    </w:p>
    <w:p w14:paraId="3622A06D" w14:textId="77777777" w:rsidR="00F22C3E" w:rsidRDefault="00F22C3E">
      <w:pPr>
        <w:pStyle w:val="BodyText"/>
        <w:rPr>
          <w:sz w:val="20"/>
        </w:rPr>
      </w:pPr>
    </w:p>
    <w:p w14:paraId="69714206" w14:textId="77777777" w:rsidR="00F22C3E" w:rsidRDefault="00BF1C1D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055A216" wp14:editId="0037F772">
                <wp:simplePos x="0" y="0"/>
                <wp:positionH relativeFrom="page">
                  <wp:posOffset>3200400</wp:posOffset>
                </wp:positionH>
                <wp:positionV relativeFrom="paragraph">
                  <wp:posOffset>201295</wp:posOffset>
                </wp:positionV>
                <wp:extent cx="1524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ED2F6F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5.85pt" to="37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38FEC482" w14:textId="77777777" w:rsidR="00F22C3E" w:rsidRDefault="00F22C3E">
      <w:pPr>
        <w:pStyle w:val="BodyText"/>
        <w:rPr>
          <w:sz w:val="20"/>
        </w:rPr>
      </w:pPr>
    </w:p>
    <w:p w14:paraId="20C59163" w14:textId="77777777" w:rsidR="00F22C3E" w:rsidRDefault="00F22C3E">
      <w:pPr>
        <w:pStyle w:val="BodyText"/>
        <w:spacing w:before="4"/>
        <w:rPr>
          <w:sz w:val="17"/>
        </w:rPr>
      </w:pPr>
    </w:p>
    <w:p w14:paraId="5667347E" w14:textId="77777777" w:rsidR="00F22C3E" w:rsidRDefault="00F3225A">
      <w:pPr>
        <w:pStyle w:val="BodyText"/>
        <w:spacing w:before="90"/>
        <w:ind w:left="2574"/>
      </w:pPr>
      <w:r>
        <w:rPr>
          <w:color w:val="FF0000"/>
        </w:rPr>
        <w:t>[Attach proof of service on opposing counsel]</w:t>
      </w:r>
    </w:p>
    <w:sectPr w:rsidR="00F22C3E">
      <w:pgSz w:w="12240" w:h="15840"/>
      <w:pgMar w:top="1360" w:right="1260" w:bottom="1260" w:left="1340" w:header="0" w:footer="106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6118AC" w16cid:durableId="1E88E46F"/>
  <w16cid:commentId w16cid:paraId="4E187D8E" w16cid:durableId="1E88E879"/>
  <w16cid:commentId w16cid:paraId="0A0248F8" w16cid:durableId="1E88EDDC"/>
  <w16cid:commentId w16cid:paraId="6F0BBE89" w16cid:durableId="1E88E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5250" w14:textId="77777777" w:rsidR="000C2BFF" w:rsidRDefault="000C2BFF">
      <w:r>
        <w:separator/>
      </w:r>
    </w:p>
  </w:endnote>
  <w:endnote w:type="continuationSeparator" w:id="0">
    <w:p w14:paraId="11E5A034" w14:textId="77777777" w:rsidR="000C2BFF" w:rsidRDefault="000C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ItalicMT">
    <w:altName w:val="Arial"/>
    <w:charset w:val="00"/>
    <w:family w:val="swiss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D91C" w14:textId="77777777" w:rsidR="00F22C3E" w:rsidRDefault="00BF1C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27A42" wp14:editId="67092697">
              <wp:simplePos x="0" y="0"/>
              <wp:positionH relativeFrom="page">
                <wp:posOffset>3822700</wp:posOffset>
              </wp:positionH>
              <wp:positionV relativeFrom="page">
                <wp:posOffset>9243060</wp:posOffset>
              </wp:positionV>
              <wp:extent cx="127000" cy="1943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AA76C" w14:textId="1FA61F97" w:rsidR="00F22C3E" w:rsidRDefault="00F3225A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1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7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7.8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eFnwIAAJI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" filled="f" stroked="f">
              <v:path arrowok="t"/>
              <v:textbox inset="0,0,0,0">
                <w:txbxContent>
                  <w:p w14:paraId="013AA76C" w14:textId="1FA61F97" w:rsidR="00F22C3E" w:rsidRDefault="00F3225A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51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1A74" w14:textId="77777777" w:rsidR="000C2BFF" w:rsidRDefault="000C2BFF">
      <w:r>
        <w:separator/>
      </w:r>
    </w:p>
  </w:footnote>
  <w:footnote w:type="continuationSeparator" w:id="0">
    <w:p w14:paraId="7283098D" w14:textId="77777777" w:rsidR="000C2BFF" w:rsidRDefault="000C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7F"/>
    <w:multiLevelType w:val="hybridMultilevel"/>
    <w:tmpl w:val="53AC53BC"/>
    <w:lvl w:ilvl="0" w:tplc="D6BA1BB8">
      <w:start w:val="1"/>
      <w:numFmt w:val="upperLetter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53C3EF0">
      <w:start w:val="1"/>
      <w:numFmt w:val="decimal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C834F548">
      <w:numFmt w:val="bullet"/>
      <w:lvlText w:val="•"/>
      <w:lvlJc w:val="left"/>
      <w:pPr>
        <w:ind w:left="2440" w:hanging="720"/>
      </w:pPr>
      <w:rPr>
        <w:rFonts w:hint="default"/>
      </w:rPr>
    </w:lvl>
    <w:lvl w:ilvl="3" w:tplc="5A084C9C">
      <w:numFmt w:val="bullet"/>
      <w:lvlText w:val="•"/>
      <w:lvlJc w:val="left"/>
      <w:pPr>
        <w:ind w:left="3340" w:hanging="720"/>
      </w:pPr>
      <w:rPr>
        <w:rFonts w:hint="default"/>
      </w:rPr>
    </w:lvl>
    <w:lvl w:ilvl="4" w:tplc="5A189E48">
      <w:numFmt w:val="bullet"/>
      <w:lvlText w:val="•"/>
      <w:lvlJc w:val="left"/>
      <w:pPr>
        <w:ind w:left="4240" w:hanging="720"/>
      </w:pPr>
      <w:rPr>
        <w:rFonts w:hint="default"/>
      </w:rPr>
    </w:lvl>
    <w:lvl w:ilvl="5" w:tplc="9766CF74">
      <w:numFmt w:val="bullet"/>
      <w:lvlText w:val="•"/>
      <w:lvlJc w:val="left"/>
      <w:pPr>
        <w:ind w:left="5140" w:hanging="720"/>
      </w:pPr>
      <w:rPr>
        <w:rFonts w:hint="default"/>
      </w:rPr>
    </w:lvl>
    <w:lvl w:ilvl="6" w:tplc="0B948EBC">
      <w:numFmt w:val="bullet"/>
      <w:lvlText w:val="•"/>
      <w:lvlJc w:val="left"/>
      <w:pPr>
        <w:ind w:left="6040" w:hanging="720"/>
      </w:pPr>
      <w:rPr>
        <w:rFonts w:hint="default"/>
      </w:rPr>
    </w:lvl>
    <w:lvl w:ilvl="7" w:tplc="52E446D0">
      <w:numFmt w:val="bullet"/>
      <w:lvlText w:val="•"/>
      <w:lvlJc w:val="left"/>
      <w:pPr>
        <w:ind w:left="6940" w:hanging="720"/>
      </w:pPr>
      <w:rPr>
        <w:rFonts w:hint="default"/>
      </w:rPr>
    </w:lvl>
    <w:lvl w:ilvl="8" w:tplc="020E2806">
      <w:numFmt w:val="bullet"/>
      <w:lvlText w:val="•"/>
      <w:lvlJc w:val="left"/>
      <w:pPr>
        <w:ind w:left="7840" w:hanging="720"/>
      </w:pPr>
      <w:rPr>
        <w:rFonts w:hint="default"/>
      </w:rPr>
    </w:lvl>
  </w:abstractNum>
  <w:abstractNum w:abstractNumId="1" w15:restartNumberingAfterBreak="0">
    <w:nsid w:val="080A0F0A"/>
    <w:multiLevelType w:val="hybridMultilevel"/>
    <w:tmpl w:val="6E0A0640"/>
    <w:lvl w:ilvl="0" w:tplc="1F58EFC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212121"/>
        <w:w w:val="76"/>
        <w:sz w:val="24"/>
        <w:szCs w:val="24"/>
      </w:rPr>
    </w:lvl>
    <w:lvl w:ilvl="1" w:tplc="40F66AF4">
      <w:numFmt w:val="bullet"/>
      <w:lvlText w:val="•"/>
      <w:lvlJc w:val="left"/>
      <w:pPr>
        <w:ind w:left="1702" w:hanging="361"/>
      </w:pPr>
      <w:rPr>
        <w:rFonts w:hint="default"/>
      </w:rPr>
    </w:lvl>
    <w:lvl w:ilvl="2" w:tplc="7E3AFF14"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36D4DE6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F8A8C6E0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1980B9EC"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023620DC">
      <w:numFmt w:val="bullet"/>
      <w:lvlText w:val="•"/>
      <w:lvlJc w:val="left"/>
      <w:pPr>
        <w:ind w:left="6112" w:hanging="361"/>
      </w:pPr>
      <w:rPr>
        <w:rFonts w:hint="default"/>
      </w:rPr>
    </w:lvl>
    <w:lvl w:ilvl="7" w:tplc="FB1AA832">
      <w:numFmt w:val="bullet"/>
      <w:lvlText w:val="•"/>
      <w:lvlJc w:val="left"/>
      <w:pPr>
        <w:ind w:left="6994" w:hanging="361"/>
      </w:pPr>
      <w:rPr>
        <w:rFonts w:hint="default"/>
      </w:rPr>
    </w:lvl>
    <w:lvl w:ilvl="8" w:tplc="33CC6A80"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2" w15:restartNumberingAfterBreak="0">
    <w:nsid w:val="462A7FC0"/>
    <w:multiLevelType w:val="hybridMultilevel"/>
    <w:tmpl w:val="723A8498"/>
    <w:lvl w:ilvl="0" w:tplc="39F839D2">
      <w:numFmt w:val="bullet"/>
      <w:lvlText w:val=""/>
      <w:lvlJc w:val="left"/>
      <w:pPr>
        <w:ind w:left="100" w:hanging="149"/>
      </w:pPr>
      <w:rPr>
        <w:rFonts w:ascii="Symbol" w:eastAsia="Symbol" w:hAnsi="Symbol" w:cs="Symbol" w:hint="default"/>
        <w:w w:val="83"/>
        <w:position w:val="10"/>
        <w:sz w:val="14"/>
        <w:szCs w:val="14"/>
      </w:rPr>
    </w:lvl>
    <w:lvl w:ilvl="1" w:tplc="80CEF3AE">
      <w:start w:val="1"/>
      <w:numFmt w:val="upperRoman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022CA740">
      <w:start w:val="1"/>
      <w:numFmt w:val="upperLetter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E25691F4">
      <w:start w:val="1"/>
      <w:numFmt w:val="decimal"/>
      <w:lvlText w:val="%4.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 w:tplc="D79C0CF4">
      <w:numFmt w:val="bullet"/>
      <w:lvlText w:val="•"/>
      <w:lvlJc w:val="left"/>
      <w:pPr>
        <w:ind w:left="3314" w:hanging="360"/>
      </w:pPr>
      <w:rPr>
        <w:rFonts w:hint="default"/>
      </w:rPr>
    </w:lvl>
    <w:lvl w:ilvl="5" w:tplc="55A61DEA">
      <w:numFmt w:val="bullet"/>
      <w:lvlText w:val="•"/>
      <w:lvlJc w:val="left"/>
      <w:pPr>
        <w:ind w:left="4368" w:hanging="360"/>
      </w:pPr>
      <w:rPr>
        <w:rFonts w:hint="default"/>
      </w:rPr>
    </w:lvl>
    <w:lvl w:ilvl="6" w:tplc="DC764644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1BD0476E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CC0457D4"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3" w15:restartNumberingAfterBreak="0">
    <w:nsid w:val="64236404"/>
    <w:multiLevelType w:val="hybridMultilevel"/>
    <w:tmpl w:val="7BBE8B4C"/>
    <w:lvl w:ilvl="0" w:tplc="4C64F46C">
      <w:start w:val="1"/>
      <w:numFmt w:val="upperRoman"/>
      <w:lvlText w:val="%1."/>
      <w:lvlJc w:val="left"/>
      <w:pPr>
        <w:ind w:left="41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9C490A8">
      <w:numFmt w:val="bullet"/>
      <w:lvlText w:val="•"/>
      <w:lvlJc w:val="left"/>
      <w:pPr>
        <w:ind w:left="4726" w:hanging="720"/>
      </w:pPr>
      <w:rPr>
        <w:rFonts w:hint="default"/>
      </w:rPr>
    </w:lvl>
    <w:lvl w:ilvl="2" w:tplc="F68AA992">
      <w:numFmt w:val="bullet"/>
      <w:lvlText w:val="•"/>
      <w:lvlJc w:val="left"/>
      <w:pPr>
        <w:ind w:left="5272" w:hanging="720"/>
      </w:pPr>
      <w:rPr>
        <w:rFonts w:hint="default"/>
      </w:rPr>
    </w:lvl>
    <w:lvl w:ilvl="3" w:tplc="CAD251D6">
      <w:numFmt w:val="bullet"/>
      <w:lvlText w:val="•"/>
      <w:lvlJc w:val="left"/>
      <w:pPr>
        <w:ind w:left="5818" w:hanging="720"/>
      </w:pPr>
      <w:rPr>
        <w:rFonts w:hint="default"/>
      </w:rPr>
    </w:lvl>
    <w:lvl w:ilvl="4" w:tplc="F940A504">
      <w:numFmt w:val="bullet"/>
      <w:lvlText w:val="•"/>
      <w:lvlJc w:val="left"/>
      <w:pPr>
        <w:ind w:left="6364" w:hanging="720"/>
      </w:pPr>
      <w:rPr>
        <w:rFonts w:hint="default"/>
      </w:rPr>
    </w:lvl>
    <w:lvl w:ilvl="5" w:tplc="39A27884">
      <w:numFmt w:val="bullet"/>
      <w:lvlText w:val="•"/>
      <w:lvlJc w:val="left"/>
      <w:pPr>
        <w:ind w:left="6910" w:hanging="720"/>
      </w:pPr>
      <w:rPr>
        <w:rFonts w:hint="default"/>
      </w:rPr>
    </w:lvl>
    <w:lvl w:ilvl="6" w:tplc="E69A5D3C">
      <w:numFmt w:val="bullet"/>
      <w:lvlText w:val="•"/>
      <w:lvlJc w:val="left"/>
      <w:pPr>
        <w:ind w:left="7456" w:hanging="720"/>
      </w:pPr>
      <w:rPr>
        <w:rFonts w:hint="default"/>
      </w:rPr>
    </w:lvl>
    <w:lvl w:ilvl="7" w:tplc="3E7EB09A">
      <w:numFmt w:val="bullet"/>
      <w:lvlText w:val="•"/>
      <w:lvlJc w:val="left"/>
      <w:pPr>
        <w:ind w:left="8002" w:hanging="720"/>
      </w:pPr>
      <w:rPr>
        <w:rFonts w:hint="default"/>
      </w:rPr>
    </w:lvl>
    <w:lvl w:ilvl="8" w:tplc="726C098E">
      <w:numFmt w:val="bullet"/>
      <w:lvlText w:val="•"/>
      <w:lvlJc w:val="left"/>
      <w:pPr>
        <w:ind w:left="8548" w:hanging="720"/>
      </w:pPr>
      <w:rPr>
        <w:rFonts w:hint="default"/>
      </w:rPr>
    </w:lvl>
  </w:abstractNum>
  <w:abstractNum w:abstractNumId="4" w15:restartNumberingAfterBreak="0">
    <w:nsid w:val="69326858"/>
    <w:multiLevelType w:val="hybridMultilevel"/>
    <w:tmpl w:val="7256E612"/>
    <w:lvl w:ilvl="0" w:tplc="D270A0A0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F029D6">
      <w:start w:val="1"/>
      <w:numFmt w:val="upp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6F521BFE">
      <w:start w:val="1"/>
      <w:numFmt w:val="decimal"/>
      <w:lvlText w:val="%3."/>
      <w:lvlJc w:val="left"/>
      <w:pPr>
        <w:ind w:left="1900" w:hanging="360"/>
      </w:pPr>
      <w:rPr>
        <w:rFonts w:hint="default"/>
        <w:b/>
        <w:bCs/>
        <w:spacing w:val="-2"/>
        <w:w w:val="99"/>
      </w:rPr>
    </w:lvl>
    <w:lvl w:ilvl="3" w:tplc="302A344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14B6CC2A">
      <w:numFmt w:val="bullet"/>
      <w:lvlText w:val="•"/>
      <w:lvlJc w:val="left"/>
      <w:pPr>
        <w:ind w:left="3005" w:hanging="360"/>
      </w:pPr>
      <w:rPr>
        <w:rFonts w:hint="default"/>
      </w:rPr>
    </w:lvl>
    <w:lvl w:ilvl="5" w:tplc="11401D90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7C2AD144">
      <w:numFmt w:val="bullet"/>
      <w:lvlText w:val="•"/>
      <w:lvlJc w:val="left"/>
      <w:pPr>
        <w:ind w:left="5217" w:hanging="360"/>
      </w:pPr>
      <w:rPr>
        <w:rFonts w:hint="default"/>
      </w:rPr>
    </w:lvl>
    <w:lvl w:ilvl="7" w:tplc="AD74D0BC">
      <w:numFmt w:val="bullet"/>
      <w:lvlText w:val="•"/>
      <w:lvlJc w:val="left"/>
      <w:pPr>
        <w:ind w:left="6322" w:hanging="360"/>
      </w:pPr>
      <w:rPr>
        <w:rFonts w:hint="default"/>
      </w:rPr>
    </w:lvl>
    <w:lvl w:ilvl="8" w:tplc="559E2778"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5" w15:restartNumberingAfterBreak="0">
    <w:nsid w:val="6BBC5C2B"/>
    <w:multiLevelType w:val="hybridMultilevel"/>
    <w:tmpl w:val="67C6B196"/>
    <w:lvl w:ilvl="0" w:tplc="495E30F4">
      <w:start w:val="18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AE0F22">
      <w:start w:val="3"/>
      <w:numFmt w:val="decimal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D1A689B2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E93EB5F4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C5106BEE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7BE01B6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87EF21A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2C84264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6C1491FA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6" w15:restartNumberingAfterBreak="0">
    <w:nsid w:val="73AD02B4"/>
    <w:multiLevelType w:val="hybridMultilevel"/>
    <w:tmpl w:val="9F5AD368"/>
    <w:lvl w:ilvl="0" w:tplc="ED0C77CC">
      <w:start w:val="1"/>
      <w:numFmt w:val="decimal"/>
      <w:lvlText w:val="(%1)"/>
      <w:lvlJc w:val="left"/>
      <w:pPr>
        <w:ind w:left="100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19A1BA0">
      <w:numFmt w:val="bullet"/>
      <w:lvlText w:val="•"/>
      <w:lvlJc w:val="left"/>
      <w:pPr>
        <w:ind w:left="1054" w:hanging="341"/>
      </w:pPr>
      <w:rPr>
        <w:rFonts w:hint="default"/>
      </w:rPr>
    </w:lvl>
    <w:lvl w:ilvl="2" w:tplc="0F96691A"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923EFB5E">
      <w:numFmt w:val="bullet"/>
      <w:lvlText w:val="•"/>
      <w:lvlJc w:val="left"/>
      <w:pPr>
        <w:ind w:left="2962" w:hanging="341"/>
      </w:pPr>
      <w:rPr>
        <w:rFonts w:hint="default"/>
      </w:rPr>
    </w:lvl>
    <w:lvl w:ilvl="4" w:tplc="E252ECCC">
      <w:numFmt w:val="bullet"/>
      <w:lvlText w:val="•"/>
      <w:lvlJc w:val="left"/>
      <w:pPr>
        <w:ind w:left="3916" w:hanging="341"/>
      </w:pPr>
      <w:rPr>
        <w:rFonts w:hint="default"/>
      </w:rPr>
    </w:lvl>
    <w:lvl w:ilvl="5" w:tplc="F2D2EDBC">
      <w:numFmt w:val="bullet"/>
      <w:lvlText w:val="•"/>
      <w:lvlJc w:val="left"/>
      <w:pPr>
        <w:ind w:left="4870" w:hanging="341"/>
      </w:pPr>
      <w:rPr>
        <w:rFonts w:hint="default"/>
      </w:rPr>
    </w:lvl>
    <w:lvl w:ilvl="6" w:tplc="059A6654">
      <w:numFmt w:val="bullet"/>
      <w:lvlText w:val="•"/>
      <w:lvlJc w:val="left"/>
      <w:pPr>
        <w:ind w:left="5824" w:hanging="341"/>
      </w:pPr>
      <w:rPr>
        <w:rFonts w:hint="default"/>
      </w:rPr>
    </w:lvl>
    <w:lvl w:ilvl="7" w:tplc="18F26D12">
      <w:numFmt w:val="bullet"/>
      <w:lvlText w:val="•"/>
      <w:lvlJc w:val="left"/>
      <w:pPr>
        <w:ind w:left="6778" w:hanging="341"/>
      </w:pPr>
      <w:rPr>
        <w:rFonts w:hint="default"/>
      </w:rPr>
    </w:lvl>
    <w:lvl w:ilvl="8" w:tplc="E230E2C2">
      <w:numFmt w:val="bullet"/>
      <w:lvlText w:val="•"/>
      <w:lvlJc w:val="left"/>
      <w:pPr>
        <w:ind w:left="7732" w:hanging="3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E"/>
    <w:rsid w:val="000538F9"/>
    <w:rsid w:val="00054751"/>
    <w:rsid w:val="000C2BFF"/>
    <w:rsid w:val="000C617D"/>
    <w:rsid w:val="00187276"/>
    <w:rsid w:val="001C521A"/>
    <w:rsid w:val="001E51AE"/>
    <w:rsid w:val="001F7BC7"/>
    <w:rsid w:val="00221EFF"/>
    <w:rsid w:val="002F7778"/>
    <w:rsid w:val="00314710"/>
    <w:rsid w:val="0050540B"/>
    <w:rsid w:val="00553289"/>
    <w:rsid w:val="00655178"/>
    <w:rsid w:val="00680821"/>
    <w:rsid w:val="00736F5B"/>
    <w:rsid w:val="007F12FA"/>
    <w:rsid w:val="00910B1D"/>
    <w:rsid w:val="009E685F"/>
    <w:rsid w:val="009F7EE7"/>
    <w:rsid w:val="00A43B0C"/>
    <w:rsid w:val="00AC148B"/>
    <w:rsid w:val="00BF1C1D"/>
    <w:rsid w:val="00BF4741"/>
    <w:rsid w:val="00CA5041"/>
    <w:rsid w:val="00F22C3E"/>
    <w:rsid w:val="00F3225A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A8E7"/>
  <w15:docId w15:val="{97AA8BBF-FD8E-8141-A5E0-E51B8F3D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0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6F5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6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5B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5B"/>
    <w:rPr>
      <w:rFonts w:ascii="Times New Roman" w:eastAsia="Times New Roman" w:hAnsi="Times New Roman" w:cs="Times New Roman"/>
      <w:sz w:val="26"/>
      <w:szCs w:val="26"/>
    </w:rPr>
  </w:style>
  <w:style w:type="character" w:customStyle="1" w:styleId="ssit">
    <w:name w:val="ss_it"/>
    <w:basedOn w:val="DefaultParagraphFont"/>
    <w:rsid w:val="00FA5FEF"/>
  </w:style>
  <w:style w:type="character" w:customStyle="1" w:styleId="BodyTextChar">
    <w:name w:val="Body Text Char"/>
    <w:basedOn w:val="DefaultParagraphFont"/>
    <w:link w:val="BodyText"/>
    <w:uiPriority w:val="1"/>
    <w:rsid w:val="00221EF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7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7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299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6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Vargas</dc:creator>
  <cp:lastModifiedBy>sejal zota</cp:lastModifiedBy>
  <cp:revision>2</cp:revision>
  <cp:lastPrinted>2018-04-24T05:43:00Z</cp:lastPrinted>
  <dcterms:created xsi:type="dcterms:W3CDTF">2018-04-25T14:32:00Z</dcterms:created>
  <dcterms:modified xsi:type="dcterms:W3CDTF">2018-04-25T14:32:00Z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Adobe Acrobat Pro 10.0.0</vt:lpwstr>
  </property>
  <property fmtid="{D5CDD505-2E9C-101B-9397-08002B2CF9AE}" pid="4" name="LastSaved">
    <vt:filetime>2018-04-23T00:00:00Z</vt:filetime>
  </property>
</Properties>
</file>