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B45E0" w14:textId="77777777" w:rsidR="00F22C3E" w:rsidRDefault="00BF1C1D" w:rsidP="00BF4741">
      <w:pPr>
        <w:pStyle w:val="Heading1"/>
        <w:spacing w:before="79"/>
        <w:ind w:left="0" w:right="515" w:firstLine="0"/>
        <w:jc w:val="center"/>
      </w:pPr>
      <w:bookmarkStart w:id="0" w:name="Appendix_B_Sample_Motion"/>
      <w:bookmarkEnd w:id="0"/>
      <w:r>
        <w:rPr>
          <w:u w:val="thick"/>
        </w:rPr>
        <w:t>APPENDIX</w:t>
      </w:r>
    </w:p>
    <w:p w14:paraId="37748D13" w14:textId="77777777" w:rsidR="00F22C3E" w:rsidRDefault="00F22C3E">
      <w:pPr>
        <w:pStyle w:val="BodyText"/>
        <w:spacing w:before="2"/>
        <w:rPr>
          <w:b/>
          <w:sz w:val="16"/>
        </w:rPr>
      </w:pPr>
    </w:p>
    <w:p w14:paraId="0D54DE8F" w14:textId="77777777" w:rsidR="00F22C3E" w:rsidRDefault="00F3225A">
      <w:pPr>
        <w:spacing w:before="90"/>
        <w:ind w:left="437" w:right="513"/>
        <w:jc w:val="center"/>
        <w:rPr>
          <w:b/>
          <w:sz w:val="24"/>
        </w:rPr>
      </w:pPr>
      <w:r>
        <w:rPr>
          <w:b/>
          <w:sz w:val="24"/>
        </w:rPr>
        <w:t>SAMPLE</w:t>
      </w:r>
    </w:p>
    <w:p w14:paraId="0BEAC076" w14:textId="09FFA6F7" w:rsidR="00F22C3E" w:rsidRDefault="001E51AE">
      <w:pPr>
        <w:ind w:left="437" w:right="516"/>
        <w:jc w:val="center"/>
        <w:rPr>
          <w:b/>
          <w:sz w:val="24"/>
        </w:rPr>
      </w:pPr>
      <w:r>
        <w:rPr>
          <w:b/>
          <w:sz w:val="24"/>
        </w:rPr>
        <w:t xml:space="preserve">STATUTORY </w:t>
      </w:r>
      <w:r w:rsidR="00F3225A">
        <w:rPr>
          <w:b/>
          <w:sz w:val="24"/>
        </w:rPr>
        <w:t xml:space="preserve">MOTION TO RECONSIDER </w:t>
      </w:r>
      <w:r w:rsidR="00146165">
        <w:rPr>
          <w:b/>
          <w:sz w:val="24"/>
        </w:rPr>
        <w:t>AND TERMINATE</w:t>
      </w:r>
      <w:r w:rsidR="00166D42" w:rsidRPr="00736F5B">
        <w:rPr>
          <w:b/>
          <w:sz w:val="24"/>
        </w:rPr>
        <w:t xml:space="preserve"> IN</w:t>
      </w:r>
      <w:r w:rsidR="00166D42" w:rsidRPr="00736F5B">
        <w:rPr>
          <w:b/>
          <w:spacing w:val="-37"/>
          <w:sz w:val="24"/>
        </w:rPr>
        <w:t xml:space="preserve"> </w:t>
      </w:r>
      <w:r w:rsidR="00166D42" w:rsidRPr="00736F5B">
        <w:rPr>
          <w:b/>
          <w:sz w:val="24"/>
        </w:rPr>
        <w:t>LIGHT</w:t>
      </w:r>
      <w:r w:rsidR="00166D42" w:rsidRPr="00736F5B">
        <w:rPr>
          <w:b/>
          <w:spacing w:val="-37"/>
          <w:sz w:val="24"/>
        </w:rPr>
        <w:t xml:space="preserve"> </w:t>
      </w:r>
      <w:r w:rsidR="00166D42" w:rsidRPr="00736F5B">
        <w:rPr>
          <w:b/>
          <w:sz w:val="24"/>
        </w:rPr>
        <w:t>OF</w:t>
      </w:r>
      <w:r w:rsidR="005A19CF">
        <w:rPr>
          <w:b/>
          <w:sz w:val="24"/>
        </w:rPr>
        <w:t xml:space="preserve"> </w:t>
      </w:r>
      <w:r w:rsidR="005A19CF">
        <w:rPr>
          <w:b/>
          <w:i/>
          <w:sz w:val="24"/>
        </w:rPr>
        <w:t>PEREIRA</w:t>
      </w:r>
      <w:r w:rsidR="00166D42">
        <w:rPr>
          <w:b/>
          <w:i/>
          <w:spacing w:val="-37"/>
          <w:sz w:val="24"/>
        </w:rPr>
        <w:t xml:space="preserve"> V.</w:t>
      </w:r>
      <w:r w:rsidR="00677D0B">
        <w:rPr>
          <w:b/>
          <w:i/>
          <w:spacing w:val="-37"/>
          <w:sz w:val="24"/>
        </w:rPr>
        <w:t xml:space="preserve">  </w:t>
      </w:r>
      <w:proofErr w:type="gramStart"/>
      <w:r w:rsidR="00677D0B">
        <w:rPr>
          <w:b/>
          <w:i/>
          <w:spacing w:val="-37"/>
          <w:sz w:val="24"/>
        </w:rPr>
        <w:t>S</w:t>
      </w:r>
      <w:r w:rsidR="00166D42" w:rsidRPr="00736F5B">
        <w:rPr>
          <w:b/>
          <w:i/>
          <w:sz w:val="24"/>
        </w:rPr>
        <w:t>ESSIONS</w:t>
      </w:r>
      <w:r w:rsidR="00166D42" w:rsidDel="00166D42">
        <w:rPr>
          <w:b/>
          <w:sz w:val="24"/>
        </w:rPr>
        <w:t xml:space="preserve"> </w:t>
      </w:r>
      <w:r w:rsidR="00F3225A">
        <w:rPr>
          <w:b/>
          <w:sz w:val="24"/>
        </w:rPr>
        <w:t xml:space="preserve"> (</w:t>
      </w:r>
      <w:proofErr w:type="gramEnd"/>
      <w:r w:rsidR="00F3225A">
        <w:rPr>
          <w:b/>
          <w:sz w:val="24"/>
        </w:rPr>
        <w:t>FOR FILING WITH THE BIA)</w:t>
      </w:r>
    </w:p>
    <w:p w14:paraId="47E61E4C" w14:textId="77777777" w:rsidR="00F22C3E" w:rsidRDefault="00F22C3E">
      <w:pPr>
        <w:pStyle w:val="BodyText"/>
        <w:spacing w:before="9"/>
        <w:rPr>
          <w:b/>
          <w:sz w:val="23"/>
        </w:rPr>
      </w:pPr>
    </w:p>
    <w:p w14:paraId="6225229F" w14:textId="77777777" w:rsidR="00F22C3E" w:rsidRDefault="00F3225A">
      <w:pPr>
        <w:pStyle w:val="BodyText"/>
        <w:ind w:left="100" w:right="329"/>
        <w:jc w:val="both"/>
      </w:pPr>
      <w:r>
        <w:t xml:space="preserve">This motion is </w:t>
      </w:r>
      <w:r>
        <w:rPr>
          <w:u w:val="single"/>
        </w:rPr>
        <w:t>not</w:t>
      </w:r>
      <w:r>
        <w:t xml:space="preserve"> a substitute for independent legal advice supplied by a lawyer familiar with</w:t>
      </w:r>
      <w:r>
        <w:rPr>
          <w:spacing w:val="-16"/>
        </w:rPr>
        <w:t xml:space="preserve"> </w:t>
      </w:r>
      <w:r>
        <w:t>a client’s case. It is not intended as, nor does it constitute, legal advice. DO NOT TREAT THIS SAMPLE MOTION AS LEGAL</w:t>
      </w:r>
      <w:r>
        <w:rPr>
          <w:spacing w:val="-2"/>
        </w:rPr>
        <w:t xml:space="preserve"> </w:t>
      </w:r>
      <w:r>
        <w:t>ADVICE.</w:t>
      </w:r>
    </w:p>
    <w:p w14:paraId="45AE25DF" w14:textId="77777777" w:rsidR="00F22C3E" w:rsidRDefault="00F22C3E">
      <w:pPr>
        <w:pStyle w:val="BodyText"/>
      </w:pPr>
    </w:p>
    <w:p w14:paraId="44EFBC5F" w14:textId="77777777" w:rsidR="00F22C3E" w:rsidRDefault="00F3225A">
      <w:pPr>
        <w:pStyle w:val="BodyText"/>
        <w:spacing w:before="1"/>
        <w:ind w:left="100"/>
      </w:pPr>
      <w:r>
        <w:t>This motion is applicable to:</w:t>
      </w:r>
    </w:p>
    <w:p w14:paraId="3C1A529E" w14:textId="77777777" w:rsidR="00F22C3E" w:rsidRDefault="00F22C3E">
      <w:pPr>
        <w:pStyle w:val="BodyText"/>
        <w:spacing w:before="11"/>
        <w:rPr>
          <w:sz w:val="23"/>
        </w:rPr>
      </w:pPr>
    </w:p>
    <w:p w14:paraId="58E04386" w14:textId="0B4A9FE4" w:rsidR="00F22C3E" w:rsidRDefault="00F3225A" w:rsidP="00BF1C1D">
      <w:pPr>
        <w:pStyle w:val="BodyText"/>
        <w:ind w:left="100" w:right="228"/>
        <w:rPr>
          <w:color w:val="006FC0"/>
        </w:rPr>
      </w:pPr>
      <w:r>
        <w:rPr>
          <w:color w:val="006FC0"/>
        </w:rPr>
        <w:t>Cases in which a</w:t>
      </w:r>
      <w:r w:rsidR="00CA76B4">
        <w:rPr>
          <w:color w:val="006FC0"/>
        </w:rPr>
        <w:t xml:space="preserve"> Respondent was ordered removed by the BIA based on a</w:t>
      </w:r>
      <w:r w:rsidR="002D60A0">
        <w:rPr>
          <w:color w:val="006FC0"/>
        </w:rPr>
        <w:t xml:space="preserve"> Notice to Appear in Removal Proceedings (“NTA”) that did not contain the time and place of the initial hearing before the Immigration Court</w:t>
      </w:r>
      <w:r>
        <w:rPr>
          <w:color w:val="006FC0"/>
        </w:rPr>
        <w:t xml:space="preserve"> and, </w:t>
      </w:r>
      <w:proofErr w:type="gramStart"/>
      <w:r>
        <w:rPr>
          <w:color w:val="006FC0"/>
        </w:rPr>
        <w:t>as a result of</w:t>
      </w:r>
      <w:proofErr w:type="gramEnd"/>
      <w:r>
        <w:rPr>
          <w:color w:val="006FC0"/>
        </w:rPr>
        <w:t xml:space="preserve"> </w:t>
      </w:r>
      <w:r w:rsidR="00C32503">
        <w:rPr>
          <w:i/>
          <w:color w:val="006FC0"/>
        </w:rPr>
        <w:t xml:space="preserve">Pereira v. </w:t>
      </w:r>
      <w:r w:rsidR="00BF1C1D">
        <w:rPr>
          <w:i/>
          <w:color w:val="006FC0"/>
        </w:rPr>
        <w:t>Sessions</w:t>
      </w:r>
      <w:r>
        <w:rPr>
          <w:color w:val="006FC0"/>
        </w:rPr>
        <w:t xml:space="preserve">, the </w:t>
      </w:r>
      <w:r w:rsidR="0060494A">
        <w:rPr>
          <w:color w:val="006FC0"/>
        </w:rPr>
        <w:t>Immigration Court never had jurisdiction over the Respondent’s removal proceedings and the Respondent may now move to reconsider and terminate removal proceedings</w:t>
      </w:r>
      <w:r w:rsidR="00BF4741">
        <w:rPr>
          <w:color w:val="006FC0"/>
        </w:rPr>
        <w:t>.</w:t>
      </w:r>
    </w:p>
    <w:p w14:paraId="2E8B5A80" w14:textId="77777777" w:rsidR="00F22C3E" w:rsidRDefault="00F22C3E">
      <w:pPr>
        <w:pStyle w:val="BodyText"/>
      </w:pPr>
    </w:p>
    <w:p w14:paraId="331BACC7" w14:textId="48E4A1E7" w:rsidR="00F22C3E" w:rsidRDefault="00F3225A">
      <w:pPr>
        <w:pStyle w:val="BodyText"/>
        <w:ind w:left="100"/>
      </w:pPr>
      <w:r>
        <w:t xml:space="preserve">Accordingly, the motion seeks reconsideration and </w:t>
      </w:r>
      <w:r w:rsidR="00EF67A7">
        <w:t>termination</w:t>
      </w:r>
      <w:r>
        <w:t>.</w:t>
      </w:r>
    </w:p>
    <w:p w14:paraId="47C024AF" w14:textId="77777777" w:rsidR="00F22C3E" w:rsidRDefault="00F22C3E">
      <w:pPr>
        <w:pStyle w:val="BodyText"/>
      </w:pPr>
    </w:p>
    <w:p w14:paraId="314C37F9" w14:textId="77777777" w:rsidR="00F22C3E" w:rsidRDefault="00F3225A">
      <w:pPr>
        <w:pStyle w:val="BodyText"/>
        <w:ind w:left="100"/>
      </w:pPr>
      <w:r>
        <w:t xml:space="preserve">This sample motion is intended for filing with the Board of Immigration Appeals (BIA). If the person did </w:t>
      </w:r>
      <w:r>
        <w:rPr>
          <w:u w:val="single"/>
        </w:rPr>
        <w:t>not</w:t>
      </w:r>
      <w:r>
        <w:t xml:space="preserve"> appeal to the BIA, the motion should be filed with the Immigration Court and different regulations apply.</w:t>
      </w:r>
    </w:p>
    <w:p w14:paraId="540C2299" w14:textId="77777777" w:rsidR="00F22C3E" w:rsidRDefault="00F22C3E">
      <w:pPr>
        <w:pStyle w:val="BodyText"/>
      </w:pPr>
    </w:p>
    <w:p w14:paraId="7D8B4D9F" w14:textId="77777777" w:rsidR="002F7778" w:rsidRDefault="002F7778" w:rsidP="00736F5B">
      <w:pPr>
        <w:pStyle w:val="BodyText"/>
        <w:ind w:left="100"/>
      </w:pPr>
    </w:p>
    <w:p w14:paraId="642DB74F" w14:textId="77777777" w:rsidR="002F7778" w:rsidRDefault="002F7778">
      <w:pPr>
        <w:sectPr w:rsidR="002F7778">
          <w:footerReference w:type="default" r:id="rId8"/>
          <w:pgSz w:w="12240" w:h="15840"/>
          <w:pgMar w:top="1360" w:right="1260" w:bottom="1260" w:left="1340" w:header="0" w:footer="1064" w:gutter="0"/>
          <w:pgNumType w:start="1"/>
          <w:cols w:space="720"/>
        </w:sectPr>
      </w:pPr>
    </w:p>
    <w:p w14:paraId="48DE36ED" w14:textId="77777777" w:rsidR="00F22C3E" w:rsidRDefault="00F3225A">
      <w:pPr>
        <w:pStyle w:val="BodyText"/>
        <w:spacing w:before="76"/>
        <w:ind w:left="6754"/>
      </w:pPr>
      <w:r>
        <w:rPr>
          <w:color w:val="FF0000"/>
        </w:rPr>
        <w:lastRenderedPageBreak/>
        <w:t xml:space="preserve">[If applicable: </w:t>
      </w:r>
      <w:r>
        <w:t>DETAINED</w:t>
      </w:r>
      <w:r>
        <w:rPr>
          <w:color w:val="FF0000"/>
        </w:rPr>
        <w:t>]</w:t>
      </w:r>
    </w:p>
    <w:p w14:paraId="0FEE0B26" w14:textId="77777777" w:rsidR="00F22C3E" w:rsidRDefault="00F22C3E">
      <w:pPr>
        <w:pStyle w:val="BodyText"/>
      </w:pPr>
    </w:p>
    <w:p w14:paraId="3A2E7D9B" w14:textId="77777777" w:rsidR="00F22C3E" w:rsidRDefault="00F3225A">
      <w:pPr>
        <w:pStyle w:val="BodyText"/>
        <w:ind w:left="2040" w:right="2118" w:hanging="1"/>
        <w:jc w:val="center"/>
      </w:pPr>
      <w:r>
        <w:t>UNITED STATES DEPARTMENT OF JUSTICE EXECUTIVE OFFICE FOR IMMIGRATION REVIEW BOARD OF IMMIGRATION APPEALS</w:t>
      </w:r>
    </w:p>
    <w:p w14:paraId="2495841E" w14:textId="77777777" w:rsidR="00F22C3E" w:rsidRDefault="00F3225A">
      <w:pPr>
        <w:pStyle w:val="BodyText"/>
        <w:spacing w:before="1"/>
        <w:ind w:left="437" w:right="515"/>
        <w:jc w:val="center"/>
      </w:pPr>
      <w:r>
        <w:t>FALLS CHURCH, VIRGINIA</w:t>
      </w:r>
    </w:p>
    <w:p w14:paraId="16FA4074" w14:textId="77777777" w:rsidR="00F22C3E" w:rsidRDefault="00F22C3E">
      <w:pPr>
        <w:pStyle w:val="BodyText"/>
        <w:rPr>
          <w:sz w:val="26"/>
        </w:rPr>
      </w:pPr>
    </w:p>
    <w:p w14:paraId="1987558B" w14:textId="77777777" w:rsidR="00F22C3E" w:rsidRDefault="00F22C3E">
      <w:pPr>
        <w:pStyle w:val="BodyText"/>
        <w:rPr>
          <w:sz w:val="22"/>
        </w:rPr>
      </w:pPr>
    </w:p>
    <w:p w14:paraId="77E98032" w14:textId="77777777" w:rsidR="00F22C3E" w:rsidRDefault="00F3225A">
      <w:pPr>
        <w:pStyle w:val="BodyText"/>
        <w:tabs>
          <w:tab w:val="left" w:pos="5140"/>
        </w:tabs>
        <w:ind w:left="100"/>
      </w:pPr>
      <w:r>
        <w:t>In the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of:</w:t>
      </w:r>
      <w:r>
        <w:tab/>
        <w:t>)</w:t>
      </w:r>
    </w:p>
    <w:p w14:paraId="53E80209" w14:textId="77777777" w:rsidR="00F22C3E" w:rsidRDefault="00F3225A">
      <w:pPr>
        <w:pStyle w:val="BodyText"/>
        <w:ind w:left="721"/>
        <w:jc w:val="center"/>
      </w:pPr>
      <w:r>
        <w:rPr>
          <w:w w:val="99"/>
        </w:rPr>
        <w:t>)</w:t>
      </w:r>
    </w:p>
    <w:p w14:paraId="06A3077D" w14:textId="77777777" w:rsidR="00F22C3E" w:rsidRDefault="00F3225A">
      <w:pPr>
        <w:tabs>
          <w:tab w:val="left" w:pos="4539"/>
          <w:tab w:val="left" w:pos="5140"/>
          <w:tab w:val="left" w:pos="5700"/>
          <w:tab w:val="left" w:pos="8760"/>
        </w:tabs>
        <w:ind w:left="100"/>
        <w:rPr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z w:val="24"/>
        </w:rPr>
        <w:tab/>
      </w:r>
      <w:r>
        <w:rPr>
          <w:sz w:val="24"/>
        </w:rPr>
        <w:t>)</w:t>
      </w:r>
      <w:r>
        <w:rPr>
          <w:sz w:val="24"/>
        </w:rPr>
        <w:tab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Number: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62EF52" w14:textId="77777777" w:rsidR="00F22C3E" w:rsidRDefault="00F3225A">
      <w:pPr>
        <w:pStyle w:val="BodyText"/>
        <w:ind w:left="721"/>
        <w:jc w:val="center"/>
      </w:pPr>
      <w:r>
        <w:rPr>
          <w:w w:val="99"/>
        </w:rPr>
        <w:t>)</w:t>
      </w:r>
    </w:p>
    <w:p w14:paraId="6983FD5F" w14:textId="77777777" w:rsidR="00F22C3E" w:rsidRDefault="00F3225A">
      <w:pPr>
        <w:pStyle w:val="BodyText"/>
        <w:tabs>
          <w:tab w:val="left" w:pos="5140"/>
        </w:tabs>
        <w:ind w:left="820"/>
      </w:pPr>
      <w:r>
        <w:t>Respondent.</w:t>
      </w:r>
      <w:r>
        <w:tab/>
        <w:t>)</w:t>
      </w:r>
    </w:p>
    <w:p w14:paraId="079C0486" w14:textId="77777777" w:rsidR="00F22C3E" w:rsidRDefault="00F3225A">
      <w:pPr>
        <w:pStyle w:val="BodyText"/>
        <w:ind w:left="721"/>
        <w:jc w:val="center"/>
      </w:pPr>
      <w:r>
        <w:rPr>
          <w:w w:val="99"/>
        </w:rPr>
        <w:t>)</w:t>
      </w:r>
    </w:p>
    <w:p w14:paraId="07664873" w14:textId="77777777" w:rsidR="00F22C3E" w:rsidRDefault="00F3225A">
      <w:pPr>
        <w:pStyle w:val="BodyText"/>
        <w:tabs>
          <w:tab w:val="left" w:pos="5140"/>
        </w:tabs>
        <w:ind w:left="100"/>
      </w:pPr>
      <w:r>
        <w:t>In</w:t>
      </w:r>
      <w:r>
        <w:rPr>
          <w:spacing w:val="-1"/>
        </w:rPr>
        <w:t xml:space="preserve"> </w:t>
      </w:r>
      <w:r>
        <w:t>Removal Proceedings.</w:t>
      </w:r>
      <w:r>
        <w:tab/>
        <w:t>)</w:t>
      </w:r>
    </w:p>
    <w:p w14:paraId="79F606FE" w14:textId="77777777" w:rsidR="00F22C3E" w:rsidRDefault="00F3225A">
      <w:pPr>
        <w:pStyle w:val="BodyText"/>
        <w:tabs>
          <w:tab w:val="left" w:pos="5140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6E772659" w14:textId="77777777" w:rsidR="00F22C3E" w:rsidRDefault="00F22C3E">
      <w:pPr>
        <w:pStyle w:val="BodyText"/>
        <w:rPr>
          <w:sz w:val="26"/>
        </w:rPr>
      </w:pPr>
    </w:p>
    <w:p w14:paraId="6C0709B5" w14:textId="77777777" w:rsidR="00F22C3E" w:rsidRPr="00736F5B" w:rsidRDefault="00F22C3E">
      <w:pPr>
        <w:pStyle w:val="BodyText"/>
        <w:spacing w:before="2"/>
        <w:rPr>
          <w:sz w:val="22"/>
        </w:rPr>
      </w:pPr>
    </w:p>
    <w:p w14:paraId="0B157F32" w14:textId="4993E4C6" w:rsidR="00A40A43" w:rsidRDefault="001E51AE">
      <w:pPr>
        <w:spacing w:before="1"/>
        <w:ind w:left="2019" w:right="2124" w:firstLine="27"/>
        <w:jc w:val="center"/>
        <w:rPr>
          <w:b/>
          <w:i/>
          <w:sz w:val="24"/>
        </w:rPr>
      </w:pPr>
      <w:r>
        <w:rPr>
          <w:b/>
          <w:sz w:val="24"/>
        </w:rPr>
        <w:t xml:space="preserve">STATUTORY </w:t>
      </w:r>
      <w:r w:rsidR="00F3225A" w:rsidRPr="00736F5B">
        <w:rPr>
          <w:b/>
          <w:sz w:val="24"/>
        </w:rPr>
        <w:t xml:space="preserve">MOTION TO RECONSIDER AND </w:t>
      </w:r>
      <w:r w:rsidR="00630C8A">
        <w:rPr>
          <w:b/>
          <w:sz w:val="24"/>
        </w:rPr>
        <w:t>TERMINATE</w:t>
      </w:r>
      <w:r w:rsidR="00C96819" w:rsidRPr="00736F5B">
        <w:rPr>
          <w:b/>
          <w:sz w:val="24"/>
        </w:rPr>
        <w:t xml:space="preserve"> </w:t>
      </w:r>
      <w:r w:rsidR="00F3225A" w:rsidRPr="00736F5B">
        <w:rPr>
          <w:b/>
          <w:sz w:val="24"/>
        </w:rPr>
        <w:t>IN</w:t>
      </w:r>
      <w:r w:rsidR="00F3225A" w:rsidRPr="00736F5B">
        <w:rPr>
          <w:b/>
          <w:spacing w:val="-37"/>
          <w:sz w:val="24"/>
        </w:rPr>
        <w:t xml:space="preserve"> </w:t>
      </w:r>
      <w:r w:rsidR="00F3225A" w:rsidRPr="00736F5B">
        <w:rPr>
          <w:b/>
          <w:sz w:val="24"/>
        </w:rPr>
        <w:t>LIGHT</w:t>
      </w:r>
      <w:r w:rsidR="00F3225A" w:rsidRPr="00736F5B">
        <w:rPr>
          <w:b/>
          <w:spacing w:val="-37"/>
          <w:sz w:val="24"/>
        </w:rPr>
        <w:t xml:space="preserve"> </w:t>
      </w:r>
      <w:r w:rsidR="00F3225A" w:rsidRPr="00736F5B">
        <w:rPr>
          <w:b/>
          <w:sz w:val="24"/>
        </w:rPr>
        <w:t>OF</w:t>
      </w:r>
      <w:r w:rsidR="00630C8A">
        <w:rPr>
          <w:b/>
          <w:sz w:val="24"/>
        </w:rPr>
        <w:t xml:space="preserve"> </w:t>
      </w:r>
      <w:r w:rsidR="00630C8A">
        <w:rPr>
          <w:b/>
          <w:i/>
          <w:sz w:val="24"/>
        </w:rPr>
        <w:t>PEREIR</w:t>
      </w:r>
      <w:r w:rsidR="00A40A43">
        <w:rPr>
          <w:b/>
          <w:i/>
          <w:sz w:val="24"/>
        </w:rPr>
        <w:t>A V. SESSIONS</w:t>
      </w:r>
    </w:p>
    <w:p w14:paraId="262B2C88" w14:textId="77777777" w:rsidR="00F22C3E" w:rsidRDefault="00F22C3E">
      <w:pPr>
        <w:pStyle w:val="BodyText"/>
        <w:spacing w:before="10"/>
        <w:rPr>
          <w:rFonts w:ascii="Arial-BoldItalicMT"/>
          <w:b/>
          <w:i/>
          <w:sz w:val="23"/>
        </w:rPr>
      </w:pPr>
    </w:p>
    <w:p w14:paraId="61581B72" w14:textId="77777777" w:rsidR="00F22C3E" w:rsidRDefault="00F3225A" w:rsidP="009F7EE7">
      <w:pPr>
        <w:pStyle w:val="Heading1"/>
        <w:numPr>
          <w:ilvl w:val="0"/>
          <w:numId w:val="4"/>
        </w:numPr>
        <w:tabs>
          <w:tab w:val="left" w:pos="4180"/>
          <w:tab w:val="left" w:pos="4181"/>
        </w:tabs>
        <w:ind w:left="1890"/>
        <w:jc w:val="left"/>
      </w:pPr>
      <w:r>
        <w:rPr>
          <w:u w:val="thick"/>
        </w:rPr>
        <w:t>INTRODUCTION</w:t>
      </w:r>
    </w:p>
    <w:p w14:paraId="0C21CD8B" w14:textId="77777777" w:rsidR="00F22C3E" w:rsidRDefault="00F22C3E" w:rsidP="00E75D72">
      <w:pPr>
        <w:pStyle w:val="BodyText"/>
        <w:rPr>
          <w:b/>
          <w:sz w:val="16"/>
        </w:rPr>
      </w:pPr>
    </w:p>
    <w:p w14:paraId="07D6FAE8" w14:textId="77777777" w:rsidR="00F22C3E" w:rsidRDefault="00F3225A">
      <w:pPr>
        <w:pStyle w:val="BodyText"/>
        <w:spacing w:before="90"/>
        <w:ind w:left="820"/>
      </w:pPr>
      <w:r>
        <w:t>Pursuant to § 240(c)(6) of the Immigration and Nationality Act (INA), Respondent,</w:t>
      </w:r>
    </w:p>
    <w:p w14:paraId="5D644C9A" w14:textId="77777777" w:rsidR="00F22C3E" w:rsidRDefault="00F22C3E">
      <w:pPr>
        <w:pStyle w:val="BodyText"/>
        <w:spacing w:before="2"/>
        <w:rPr>
          <w:sz w:val="16"/>
        </w:rPr>
      </w:pPr>
    </w:p>
    <w:p w14:paraId="6BDBA43B" w14:textId="4B3ABEDB" w:rsidR="00FA5FEF" w:rsidRPr="00221EFF" w:rsidRDefault="00F3225A" w:rsidP="00221EFF">
      <w:pPr>
        <w:pStyle w:val="BodyText"/>
        <w:spacing w:line="480" w:lineRule="auto"/>
        <w:ind w:right="695"/>
        <w:rPr>
          <w:color w:val="000000" w:themeColor="text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 w:rsidRPr="00221EFF">
        <w:rPr>
          <w:color w:val="000000" w:themeColor="text1"/>
        </w:rPr>
        <w:t>hereby seeks reconsideration</w:t>
      </w:r>
      <w:r w:rsidR="00664A95">
        <w:rPr>
          <w:color w:val="000000" w:themeColor="text1"/>
        </w:rPr>
        <w:t xml:space="preserve"> and termination</w:t>
      </w:r>
      <w:r w:rsidRPr="00221EFF">
        <w:rPr>
          <w:color w:val="000000" w:themeColor="text1"/>
        </w:rPr>
        <w:t xml:space="preserve"> </w:t>
      </w:r>
      <w:proofErr w:type="gramStart"/>
      <w:r w:rsidRPr="00221EFF">
        <w:rPr>
          <w:color w:val="000000" w:themeColor="text1"/>
        </w:rPr>
        <w:t>in light of</w:t>
      </w:r>
      <w:proofErr w:type="gramEnd"/>
      <w:r w:rsidRPr="00221EFF">
        <w:rPr>
          <w:color w:val="000000" w:themeColor="text1"/>
        </w:rPr>
        <w:t xml:space="preserve"> the Supreme Court’s recent precedent </w:t>
      </w:r>
      <w:r w:rsidRPr="00A173FF">
        <w:rPr>
          <w:color w:val="000000" w:themeColor="text1"/>
        </w:rPr>
        <w:t>decision in</w:t>
      </w:r>
      <w:r w:rsidR="00736F5B" w:rsidRPr="00D94F7B">
        <w:rPr>
          <w:color w:val="000000" w:themeColor="text1"/>
        </w:rPr>
        <w:t xml:space="preserve"> </w:t>
      </w:r>
      <w:r w:rsidR="003115FC" w:rsidRPr="00D94F7B">
        <w:rPr>
          <w:i/>
          <w:color w:val="000000" w:themeColor="text1"/>
        </w:rPr>
        <w:t xml:space="preserve">Pereira v. </w:t>
      </w:r>
      <w:r w:rsidR="00736F5B" w:rsidRPr="00A173FF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Sessions</w:t>
      </w:r>
      <w:r w:rsidR="00736F5B" w:rsidRPr="00A173FF">
        <w:rPr>
          <w:color w:val="000000" w:themeColor="text1"/>
          <w:bdr w:val="none" w:sz="0" w:space="0" w:color="auto" w:frame="1"/>
          <w:shd w:val="clear" w:color="auto" w:fill="FFFFFF"/>
        </w:rPr>
        <w:t xml:space="preserve">, No. </w:t>
      </w:r>
      <w:r w:rsidR="00FE76B1" w:rsidRPr="0026624C">
        <w:rPr>
          <w:color w:val="000000" w:themeColor="text1"/>
          <w:bdr w:val="none" w:sz="0" w:space="0" w:color="auto" w:frame="1"/>
          <w:shd w:val="clear" w:color="auto" w:fill="FFFFFF"/>
        </w:rPr>
        <w:t>17</w:t>
      </w:r>
      <w:r w:rsidR="00736F5B" w:rsidRPr="0026624C">
        <w:rPr>
          <w:color w:val="000000" w:themeColor="text1"/>
          <w:bdr w:val="none" w:sz="0" w:space="0" w:color="auto" w:frame="1"/>
          <w:shd w:val="clear" w:color="auto" w:fill="FFFFFF"/>
        </w:rPr>
        <w:t>-</w:t>
      </w:r>
      <w:r w:rsidR="00FE76B1" w:rsidRPr="0026624C">
        <w:rPr>
          <w:color w:val="000000" w:themeColor="text1"/>
          <w:bdr w:val="none" w:sz="0" w:space="0" w:color="auto" w:frame="1"/>
          <w:shd w:val="clear" w:color="auto" w:fill="FFFFFF"/>
        </w:rPr>
        <w:t>459</w:t>
      </w:r>
      <w:r w:rsidR="00736F5B" w:rsidRPr="0026624C">
        <w:rPr>
          <w:color w:val="000000" w:themeColor="text1"/>
          <w:bdr w:val="none" w:sz="0" w:space="0" w:color="auto" w:frame="1"/>
          <w:shd w:val="clear" w:color="auto" w:fill="FFFFFF"/>
        </w:rPr>
        <w:t>, -- U.S. --</w:t>
      </w:r>
      <w:r w:rsidR="00736F5B" w:rsidRPr="00221EFF">
        <w:rPr>
          <w:color w:val="000000" w:themeColor="text1"/>
          <w:bdr w:val="none" w:sz="0" w:space="0" w:color="auto" w:frame="1"/>
          <w:shd w:val="clear" w:color="auto" w:fill="FFFFFF"/>
        </w:rPr>
        <w:t xml:space="preserve"> (</w:t>
      </w:r>
      <w:r w:rsidR="00C96819">
        <w:rPr>
          <w:color w:val="000000" w:themeColor="text1"/>
          <w:bdr w:val="none" w:sz="0" w:space="0" w:color="auto" w:frame="1"/>
          <w:shd w:val="clear" w:color="auto" w:fill="FFFFFF"/>
        </w:rPr>
        <w:t>June</w:t>
      </w:r>
      <w:r w:rsidR="00736F5B" w:rsidRPr="00221EFF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C96819">
        <w:rPr>
          <w:color w:val="000000" w:themeColor="text1"/>
          <w:bdr w:val="none" w:sz="0" w:space="0" w:color="auto" w:frame="1"/>
          <w:shd w:val="clear" w:color="auto" w:fill="FFFFFF"/>
        </w:rPr>
        <w:t>21</w:t>
      </w:r>
      <w:r w:rsidR="00736F5B" w:rsidRPr="00221EFF">
        <w:rPr>
          <w:color w:val="000000" w:themeColor="text1"/>
          <w:bdr w:val="none" w:sz="0" w:space="0" w:color="auto" w:frame="1"/>
          <w:shd w:val="clear" w:color="auto" w:fill="FFFFFF"/>
        </w:rPr>
        <w:t>, 2018)</w:t>
      </w:r>
      <w:r w:rsidRPr="00221EFF">
        <w:rPr>
          <w:color w:val="000000" w:themeColor="text1"/>
        </w:rPr>
        <w:t xml:space="preserve">. In </w:t>
      </w:r>
      <w:r w:rsidR="0026624C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Pereira</w:t>
      </w:r>
      <w:r w:rsidRPr="00221EFF">
        <w:rPr>
          <w:color w:val="000000" w:themeColor="text1"/>
        </w:rPr>
        <w:t>, the Supreme Court held</w:t>
      </w:r>
      <w:r w:rsidR="00175422">
        <w:rPr>
          <w:color w:val="000000" w:themeColor="text1"/>
        </w:rPr>
        <w:t xml:space="preserve"> that a</w:t>
      </w:r>
      <w:r w:rsidR="00A24B77">
        <w:rPr>
          <w:color w:val="000000" w:themeColor="text1"/>
        </w:rPr>
        <w:t xml:space="preserve"> document styled as a notice to appear in removal proceedings that does not contain the </w:t>
      </w:r>
      <w:r w:rsidR="001961CB">
        <w:rPr>
          <w:color w:val="000000" w:themeColor="text1"/>
        </w:rPr>
        <w:t>time or place</w:t>
      </w:r>
      <w:r w:rsidR="00A24B77">
        <w:rPr>
          <w:color w:val="000000" w:themeColor="text1"/>
        </w:rPr>
        <w:t xml:space="preserve"> of the first hearing does not interrupt the requisite period of continuous presence</w:t>
      </w:r>
      <w:r w:rsidR="005209B0">
        <w:rPr>
          <w:color w:val="000000" w:themeColor="text1"/>
        </w:rPr>
        <w:t xml:space="preserve"> or residence</w:t>
      </w:r>
      <w:r w:rsidR="00A24B77">
        <w:rPr>
          <w:color w:val="000000" w:themeColor="text1"/>
        </w:rPr>
        <w:t xml:space="preserve"> for a noncitizen to be eligible for cancellation of removal.</w:t>
      </w:r>
      <w:r w:rsidR="00071347">
        <w:rPr>
          <w:color w:val="000000" w:themeColor="text1"/>
        </w:rPr>
        <w:t xml:space="preserve"> In so deciding,</w:t>
      </w:r>
      <w:r w:rsidR="00F45F17">
        <w:rPr>
          <w:color w:val="000000" w:themeColor="text1"/>
        </w:rPr>
        <w:t xml:space="preserve"> the Court stated</w:t>
      </w:r>
      <w:r w:rsidR="004E7F59">
        <w:rPr>
          <w:color w:val="000000" w:themeColor="text1"/>
        </w:rPr>
        <w:t xml:space="preserve">, </w:t>
      </w:r>
      <w:r w:rsidR="00F45F17">
        <w:rPr>
          <w:color w:val="000000" w:themeColor="text1"/>
        </w:rPr>
        <w:t>“</w:t>
      </w:r>
      <w:r w:rsidR="004E7F59">
        <w:rPr>
          <w:color w:val="000000" w:themeColor="text1"/>
        </w:rPr>
        <w:t xml:space="preserve">A putative notice to appear that fails to designate the specific time or place of the noncitizen’s removal proceedings is not a </w:t>
      </w:r>
      <w:r w:rsidR="00F45F17">
        <w:rPr>
          <w:color w:val="000000" w:themeColor="text1"/>
        </w:rPr>
        <w:t xml:space="preserve">“notice to appear </w:t>
      </w:r>
      <w:r w:rsidR="00FF7D10">
        <w:rPr>
          <w:color w:val="000000" w:themeColor="text1"/>
        </w:rPr>
        <w:t>under</w:t>
      </w:r>
      <w:r w:rsidR="00F45F17">
        <w:rPr>
          <w:color w:val="000000" w:themeColor="text1"/>
        </w:rPr>
        <w:t xml:space="preserve"> section [239[a]</w:t>
      </w:r>
      <w:r w:rsidR="004E7F59">
        <w:rPr>
          <w:color w:val="000000" w:themeColor="text1"/>
        </w:rPr>
        <w:t xml:space="preserve">.”” </w:t>
      </w:r>
      <w:proofErr w:type="gramStart"/>
      <w:r w:rsidR="004E7F59">
        <w:rPr>
          <w:i/>
          <w:color w:val="000000" w:themeColor="text1"/>
        </w:rPr>
        <w:t>Pereira</w:t>
      </w:r>
      <w:r w:rsidR="004E7F59">
        <w:rPr>
          <w:color w:val="000000" w:themeColor="text1"/>
        </w:rPr>
        <w:t>,</w:t>
      </w:r>
      <w:proofErr w:type="gramEnd"/>
      <w:r w:rsidR="004E7F59">
        <w:rPr>
          <w:color w:val="000000" w:themeColor="text1"/>
        </w:rPr>
        <w:t xml:space="preserve"> slip op. at 9. </w:t>
      </w:r>
      <w:r w:rsidR="00F875DD">
        <w:rPr>
          <w:color w:val="000000" w:themeColor="text1"/>
        </w:rPr>
        <w:t>The text of the</w:t>
      </w:r>
      <w:r w:rsidR="004E7F59">
        <w:rPr>
          <w:color w:val="000000" w:themeColor="text1"/>
        </w:rPr>
        <w:t xml:space="preserve"> INA and the governing regulations require the</w:t>
      </w:r>
      <w:r w:rsidR="00F875DD">
        <w:rPr>
          <w:color w:val="000000" w:themeColor="text1"/>
        </w:rPr>
        <w:t xml:space="preserve"> filing of a notice to appear, as defined at INA § 239</w:t>
      </w:r>
      <w:r w:rsidR="00D10121">
        <w:rPr>
          <w:color w:val="000000" w:themeColor="text1"/>
        </w:rPr>
        <w:t>(a)</w:t>
      </w:r>
      <w:r w:rsidR="00F875DD">
        <w:rPr>
          <w:color w:val="000000" w:themeColor="text1"/>
        </w:rPr>
        <w:t>, for the</w:t>
      </w:r>
      <w:r w:rsidR="00D10121">
        <w:rPr>
          <w:color w:val="000000" w:themeColor="text1"/>
        </w:rPr>
        <w:t xml:space="preserve"> Immigration Court to have jurisdiction over</w:t>
      </w:r>
      <w:r w:rsidR="00BD7E02">
        <w:rPr>
          <w:color w:val="000000" w:themeColor="text1"/>
        </w:rPr>
        <w:t xml:space="preserve"> a Respondent’s case.</w:t>
      </w:r>
      <w:r w:rsidR="00071347">
        <w:rPr>
          <w:color w:val="000000" w:themeColor="text1"/>
        </w:rPr>
        <w:t xml:space="preserve"> </w:t>
      </w:r>
      <w:r w:rsidR="00A24B77">
        <w:rPr>
          <w:color w:val="000000" w:themeColor="text1"/>
        </w:rPr>
        <w:t xml:space="preserve"> </w:t>
      </w:r>
      <w:r w:rsidR="00F57960">
        <w:rPr>
          <w:color w:val="000000" w:themeColor="text1"/>
        </w:rPr>
        <w:t>Here,</w:t>
      </w:r>
      <w:r w:rsidR="00C62A50">
        <w:rPr>
          <w:color w:val="000000" w:themeColor="text1"/>
        </w:rPr>
        <w:t xml:space="preserve"> the</w:t>
      </w:r>
      <w:r w:rsidR="00646FDF">
        <w:rPr>
          <w:color w:val="000000" w:themeColor="text1"/>
        </w:rPr>
        <w:t xml:space="preserve"> Department of Homeland Security (DHS) never filed </w:t>
      </w:r>
      <w:r w:rsidR="00D40278">
        <w:rPr>
          <w:color w:val="000000" w:themeColor="text1"/>
        </w:rPr>
        <w:t>a valid</w:t>
      </w:r>
      <w:r w:rsidR="00C62A50">
        <w:rPr>
          <w:color w:val="000000" w:themeColor="text1"/>
        </w:rPr>
        <w:t xml:space="preserve"> notice to appear</w:t>
      </w:r>
      <w:r w:rsidR="00D40278">
        <w:rPr>
          <w:color w:val="000000" w:themeColor="text1"/>
        </w:rPr>
        <w:t xml:space="preserve">—the requirements of which </w:t>
      </w:r>
      <w:r w:rsidR="00D40278">
        <w:rPr>
          <w:i/>
          <w:color w:val="000000" w:themeColor="text1"/>
        </w:rPr>
        <w:lastRenderedPageBreak/>
        <w:t>Pereira</w:t>
      </w:r>
      <w:r w:rsidR="00D40278">
        <w:rPr>
          <w:color w:val="000000" w:themeColor="text1"/>
        </w:rPr>
        <w:t xml:space="preserve"> has now corrected—</w:t>
      </w:r>
      <w:r w:rsidR="00646FDF">
        <w:rPr>
          <w:color w:val="000000" w:themeColor="text1"/>
        </w:rPr>
        <w:t>with the immigration court, and thus</w:t>
      </w:r>
      <w:r w:rsidR="00924CE9">
        <w:rPr>
          <w:color w:val="000000" w:themeColor="text1"/>
        </w:rPr>
        <w:t xml:space="preserve"> neither the immigration court nor this Board</w:t>
      </w:r>
      <w:r w:rsidR="00646FDF">
        <w:rPr>
          <w:color w:val="000000" w:themeColor="text1"/>
        </w:rPr>
        <w:t xml:space="preserve"> had jurisdiction over the Respondent’s case.</w:t>
      </w:r>
    </w:p>
    <w:p w14:paraId="6438680A" w14:textId="1BFCE829" w:rsidR="00FA5FEF" w:rsidRDefault="00FA5FEF" w:rsidP="00221EFF">
      <w:pPr>
        <w:pStyle w:val="BodyText"/>
        <w:spacing w:line="480" w:lineRule="auto"/>
        <w:ind w:right="695"/>
        <w:rPr>
          <w:sz w:val="22"/>
        </w:rPr>
      </w:pPr>
      <w:r w:rsidRPr="00221EFF">
        <w:rPr>
          <w:color w:val="000000" w:themeColor="text1"/>
        </w:rPr>
        <w:tab/>
      </w:r>
      <w:r w:rsidR="002B27D5">
        <w:rPr>
          <w:color w:val="000000" w:themeColor="text1"/>
        </w:rPr>
        <w:t>Accordingly,</w:t>
      </w:r>
      <w:r w:rsidR="00352310">
        <w:rPr>
          <w:color w:val="000000" w:themeColor="text1"/>
        </w:rPr>
        <w:t xml:space="preserve"> under </w:t>
      </w:r>
      <w:r w:rsidR="00352310">
        <w:rPr>
          <w:i/>
          <w:color w:val="000000" w:themeColor="text1"/>
        </w:rPr>
        <w:t>Pereira</w:t>
      </w:r>
      <w:r w:rsidR="002B27D5">
        <w:rPr>
          <w:color w:val="000000" w:themeColor="text1"/>
        </w:rPr>
        <w:t xml:space="preserve"> t</w:t>
      </w:r>
      <w:r w:rsidR="00F3225A" w:rsidRPr="00221EFF">
        <w:rPr>
          <w:color w:val="000000" w:themeColor="text1"/>
        </w:rPr>
        <w:t>he Board should reconsider its decision and</w:t>
      </w:r>
      <w:r w:rsidR="00924CE9">
        <w:rPr>
          <w:color w:val="000000" w:themeColor="text1"/>
        </w:rPr>
        <w:t xml:space="preserve"> terminate</w:t>
      </w:r>
      <w:r w:rsidR="003B689C">
        <w:rPr>
          <w:color w:val="000000" w:themeColor="text1"/>
        </w:rPr>
        <w:t xml:space="preserve"> </w:t>
      </w:r>
      <w:r w:rsidR="00F3225A" w:rsidRPr="00221EFF">
        <w:rPr>
          <w:color w:val="000000" w:themeColor="text1"/>
        </w:rPr>
        <w:t>removal proceedings</w:t>
      </w:r>
      <w:r w:rsidR="003B689C">
        <w:rPr>
          <w:color w:val="000000" w:themeColor="text1"/>
        </w:rPr>
        <w:t xml:space="preserve"> against the Respondent</w:t>
      </w:r>
      <w:r w:rsidR="00DE4DC6">
        <w:rPr>
          <w:color w:val="000000" w:themeColor="text1"/>
        </w:rPr>
        <w:t xml:space="preserve"> for lack of jurisdiction</w:t>
      </w:r>
      <w:r w:rsidR="00F3225A">
        <w:t>.</w:t>
      </w:r>
    </w:p>
    <w:p w14:paraId="0AAF0DF2" w14:textId="77777777" w:rsidR="00FA5FEF" w:rsidRDefault="00FA5FEF">
      <w:pPr>
        <w:pStyle w:val="BodyText"/>
        <w:spacing w:before="2"/>
        <w:rPr>
          <w:sz w:val="22"/>
        </w:rPr>
      </w:pPr>
    </w:p>
    <w:p w14:paraId="78B6B256" w14:textId="77777777" w:rsidR="00F22C3E" w:rsidRDefault="00F3225A">
      <w:pPr>
        <w:pStyle w:val="Heading1"/>
        <w:numPr>
          <w:ilvl w:val="0"/>
          <w:numId w:val="4"/>
        </w:numPr>
        <w:tabs>
          <w:tab w:val="left" w:pos="1863"/>
          <w:tab w:val="left" w:pos="1864"/>
        </w:tabs>
        <w:ind w:left="1863"/>
        <w:jc w:val="left"/>
      </w:pPr>
      <w:r>
        <w:rPr>
          <w:u w:val="thick"/>
        </w:rPr>
        <w:t>STATEMENT OF FACTS AND STATEMENT OF THE</w:t>
      </w:r>
      <w:r>
        <w:rPr>
          <w:spacing w:val="-4"/>
          <w:u w:val="thick"/>
        </w:rPr>
        <w:t xml:space="preserve"> </w:t>
      </w:r>
      <w:r>
        <w:rPr>
          <w:u w:val="thick"/>
        </w:rPr>
        <w:t>CASE</w:t>
      </w:r>
    </w:p>
    <w:p w14:paraId="22183F96" w14:textId="77777777" w:rsidR="00436886" w:rsidRDefault="00436886" w:rsidP="00D94F7B">
      <w:pPr>
        <w:pStyle w:val="BodyText"/>
        <w:tabs>
          <w:tab w:val="left" w:pos="3564"/>
          <w:tab w:val="left" w:pos="6972"/>
        </w:tabs>
        <w:spacing w:before="76"/>
        <w:ind w:left="100" w:right="248" w:firstLine="720"/>
      </w:pPr>
    </w:p>
    <w:p w14:paraId="3F41A08C" w14:textId="58DB7826" w:rsidR="00F22C3E" w:rsidRDefault="00F3225A">
      <w:pPr>
        <w:pStyle w:val="BodyText"/>
        <w:tabs>
          <w:tab w:val="left" w:pos="3564"/>
          <w:tab w:val="left" w:pos="6972"/>
        </w:tabs>
        <w:spacing w:before="76" w:line="480" w:lineRule="auto"/>
        <w:ind w:left="100" w:right="248" w:firstLine="720"/>
      </w:pPr>
      <w:r>
        <w:t xml:space="preserve">The Department of Homeland Security (DHS) </w:t>
      </w:r>
      <w:r w:rsidR="00436886">
        <w:t xml:space="preserve">charged </w:t>
      </w:r>
      <w:r>
        <w:t>th</w:t>
      </w:r>
      <w:r w:rsidR="00436886">
        <w:t>e</w:t>
      </w:r>
      <w:r>
        <w:t xml:space="preserve"> Respondent</w:t>
      </w:r>
      <w:r w:rsidR="00436886">
        <w:t xml:space="preserve"> as removable under Section </w:t>
      </w:r>
      <w:r w:rsidR="00F1505C">
        <w:t>§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F1505C">
        <w:t xml:space="preserve"> of the INA</w:t>
      </w:r>
      <w:r>
        <w:t xml:space="preserve">.  </w:t>
      </w:r>
      <w:r>
        <w:rPr>
          <w:i/>
        </w:rPr>
        <w:t xml:space="preserve">See </w:t>
      </w:r>
      <w:r>
        <w:t>Notice to</w:t>
      </w:r>
      <w:r>
        <w:rPr>
          <w:spacing w:val="-1"/>
        </w:rPr>
        <w:t xml:space="preserve"> </w:t>
      </w:r>
      <w:r>
        <w:t>Appear,</w:t>
      </w:r>
      <w:r>
        <w:rPr>
          <w:spacing w:val="-1"/>
        </w:rPr>
        <w:t xml:space="preserve"> </w:t>
      </w:r>
      <w:r>
        <w:t>dated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</w:p>
    <w:p w14:paraId="53B8F2D3" w14:textId="32CE8FAB" w:rsidR="00F22C3E" w:rsidRDefault="00F3225A">
      <w:pPr>
        <w:pStyle w:val="BodyText"/>
        <w:tabs>
          <w:tab w:val="left" w:pos="2013"/>
          <w:tab w:val="left" w:pos="5793"/>
        </w:tabs>
        <w:spacing w:before="1" w:line="480" w:lineRule="auto"/>
        <w:ind w:left="100" w:right="248" w:firstLine="720"/>
      </w:pP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the Immigration Judge (IJ) </w:t>
      </w:r>
      <w:r w:rsidR="004515DE">
        <w:t>ordered the</w:t>
      </w:r>
      <w:r>
        <w:t xml:space="preserve"> Respondent </w:t>
      </w:r>
      <w:r w:rsidR="00F1505C">
        <w:t>remov</w:t>
      </w:r>
      <w:r w:rsidR="004515DE">
        <w:t>ed</w:t>
      </w:r>
      <w:r>
        <w:t xml:space="preserve">. </w:t>
      </w:r>
      <w:r>
        <w:rPr>
          <w:i/>
        </w:rPr>
        <w:t xml:space="preserve">See </w:t>
      </w:r>
      <w:r>
        <w:t>IJ Decision.</w:t>
      </w:r>
      <w:r w:rsidR="00E95A3C">
        <w:t xml:space="preserve"> </w:t>
      </w:r>
      <w:r>
        <w:t xml:space="preserve"> This Board affirmed the IJ’s</w:t>
      </w:r>
      <w:r>
        <w:rPr>
          <w:spacing w:val="-6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 xml:space="preserve">. </w:t>
      </w:r>
      <w:r>
        <w:rPr>
          <w:i/>
        </w:rPr>
        <w:t xml:space="preserve">See </w:t>
      </w:r>
      <w:r>
        <w:t>BIA</w:t>
      </w:r>
      <w:r>
        <w:rPr>
          <w:spacing w:val="-1"/>
        </w:rPr>
        <w:t xml:space="preserve"> </w:t>
      </w:r>
      <w:r>
        <w:t>Decision.</w:t>
      </w:r>
    </w:p>
    <w:p w14:paraId="79486BEE" w14:textId="77777777" w:rsidR="00F22C3E" w:rsidRDefault="00F3225A">
      <w:pPr>
        <w:pStyle w:val="BodyText"/>
        <w:ind w:left="820"/>
      </w:pPr>
      <w:r>
        <w:t>Pursuant to 8 C.F.R. § 1003.2(e), Respondent declares that:</w:t>
      </w:r>
    </w:p>
    <w:p w14:paraId="6A617D26" w14:textId="77777777" w:rsidR="00F22C3E" w:rsidRDefault="00F22C3E">
      <w:pPr>
        <w:pStyle w:val="BodyText"/>
      </w:pPr>
    </w:p>
    <w:p w14:paraId="390B0607" w14:textId="77777777" w:rsidR="00F22C3E" w:rsidRDefault="00F3225A">
      <w:pPr>
        <w:pStyle w:val="ListParagraph"/>
        <w:numPr>
          <w:ilvl w:val="0"/>
          <w:numId w:val="3"/>
        </w:numPr>
        <w:tabs>
          <w:tab w:val="left" w:pos="441"/>
        </w:tabs>
        <w:spacing w:line="480" w:lineRule="auto"/>
        <w:ind w:right="307" w:firstLine="0"/>
        <w:rPr>
          <w:sz w:val="24"/>
        </w:rPr>
      </w:pPr>
      <w:r>
        <w:rPr>
          <w:sz w:val="24"/>
        </w:rPr>
        <w:t xml:space="preserve">The validity of the removal order </w:t>
      </w:r>
      <w:r>
        <w:rPr>
          <w:color w:val="FF0000"/>
          <w:sz w:val="24"/>
        </w:rPr>
        <w:t xml:space="preserve">[has been or is OR has not been and is not] </w:t>
      </w:r>
      <w:r>
        <w:rPr>
          <w:sz w:val="24"/>
        </w:rPr>
        <w:t xml:space="preserve">the subject of a judicial proceeding. </w:t>
      </w:r>
      <w:r>
        <w:rPr>
          <w:color w:val="FF0000"/>
          <w:sz w:val="24"/>
        </w:rPr>
        <w:t xml:space="preserve">[If applicable] </w:t>
      </w:r>
      <w:r>
        <w:rPr>
          <w:sz w:val="24"/>
        </w:rPr>
        <w:t>The location of the judicial proceeding</w:t>
      </w:r>
      <w:r>
        <w:rPr>
          <w:spacing w:val="-6"/>
          <w:sz w:val="24"/>
        </w:rPr>
        <w:t xml:space="preserve"> </w:t>
      </w:r>
      <w:r>
        <w:rPr>
          <w:sz w:val="24"/>
        </w:rPr>
        <w:t>is:</w:t>
      </w:r>
    </w:p>
    <w:p w14:paraId="76F3119B" w14:textId="77777777" w:rsidR="00F22C3E" w:rsidRDefault="00F3225A">
      <w:pPr>
        <w:pStyle w:val="BodyText"/>
        <w:tabs>
          <w:tab w:val="left" w:pos="3099"/>
          <w:tab w:val="left" w:pos="9138"/>
          <w:tab w:val="left" w:pos="9399"/>
        </w:tabs>
        <w:spacing w:line="480" w:lineRule="auto"/>
        <w:ind w:left="100" w:right="1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  The proceeding took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The outcome is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65F76A0E" w14:textId="77777777" w:rsidR="00F22C3E" w:rsidRDefault="00F3225A">
      <w:pPr>
        <w:pStyle w:val="ListParagraph"/>
        <w:numPr>
          <w:ilvl w:val="0"/>
          <w:numId w:val="3"/>
        </w:numPr>
        <w:tabs>
          <w:tab w:val="left" w:pos="441"/>
          <w:tab w:val="left" w:pos="9284"/>
        </w:tabs>
        <w:spacing w:line="480" w:lineRule="auto"/>
        <w:ind w:right="293" w:firstLine="0"/>
        <w:rPr>
          <w:sz w:val="24"/>
        </w:rPr>
      </w:pPr>
      <w:r>
        <w:rPr>
          <w:sz w:val="24"/>
        </w:rPr>
        <w:t xml:space="preserve">Respondent </w:t>
      </w:r>
      <w:r>
        <w:rPr>
          <w:color w:val="FF0000"/>
          <w:sz w:val="24"/>
        </w:rPr>
        <w:t xml:space="preserve">[is OR is not] </w:t>
      </w:r>
      <w:r>
        <w:rPr>
          <w:sz w:val="24"/>
        </w:rPr>
        <w:t xml:space="preserve">currently the subject of a criminal proceeding under the Act. The </w:t>
      </w:r>
      <w:proofErr w:type="gramStart"/>
      <w:r>
        <w:rPr>
          <w:sz w:val="24"/>
        </w:rPr>
        <w:t>current status</w:t>
      </w:r>
      <w:proofErr w:type="gramEnd"/>
      <w:r>
        <w:rPr>
          <w:sz w:val="24"/>
        </w:rPr>
        <w:t xml:space="preserve"> of this</w:t>
      </w:r>
      <w:r>
        <w:rPr>
          <w:spacing w:val="-3"/>
          <w:sz w:val="24"/>
        </w:rPr>
        <w:t xml:space="preserve"> </w:t>
      </w:r>
      <w:r>
        <w:rPr>
          <w:sz w:val="24"/>
        </w:rPr>
        <w:t>proceeding</w:t>
      </w:r>
      <w:r>
        <w:rPr>
          <w:spacing w:val="-2"/>
          <w:sz w:val="24"/>
        </w:rPr>
        <w:t xml:space="preserve"> </w:t>
      </w:r>
      <w:r>
        <w:rPr>
          <w:sz w:val="24"/>
        </w:rPr>
        <w:t>is: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5FAC99F0" w14:textId="77777777" w:rsidR="00F22C3E" w:rsidRDefault="00F3225A">
      <w:pPr>
        <w:pStyle w:val="ListParagraph"/>
        <w:numPr>
          <w:ilvl w:val="0"/>
          <w:numId w:val="3"/>
        </w:numPr>
        <w:tabs>
          <w:tab w:val="left" w:pos="441"/>
        </w:tabs>
        <w:spacing w:line="480" w:lineRule="auto"/>
        <w:ind w:right="241" w:firstLine="0"/>
        <w:rPr>
          <w:sz w:val="24"/>
        </w:rPr>
      </w:pPr>
      <w:r>
        <w:rPr>
          <w:sz w:val="24"/>
        </w:rPr>
        <w:t xml:space="preserve">Respondent </w:t>
      </w:r>
      <w:r>
        <w:rPr>
          <w:color w:val="FF0000"/>
          <w:sz w:val="24"/>
        </w:rPr>
        <w:t xml:space="preserve">[is OR is not] </w:t>
      </w:r>
      <w:r>
        <w:rPr>
          <w:sz w:val="24"/>
        </w:rPr>
        <w:t>currently the subject of any pending criminal proceeding under</w:t>
      </w:r>
      <w:r>
        <w:rPr>
          <w:spacing w:val="-11"/>
          <w:sz w:val="24"/>
        </w:rPr>
        <w:t xml:space="preserve"> </w:t>
      </w:r>
      <w:r>
        <w:rPr>
          <w:sz w:val="24"/>
        </w:rPr>
        <w:t>the Act.</w:t>
      </w:r>
    </w:p>
    <w:p w14:paraId="7B9A79E1" w14:textId="77777777" w:rsidR="00F22C3E" w:rsidRDefault="00F3225A">
      <w:pPr>
        <w:pStyle w:val="Heading1"/>
        <w:numPr>
          <w:ilvl w:val="0"/>
          <w:numId w:val="4"/>
        </w:numPr>
        <w:tabs>
          <w:tab w:val="left" w:pos="2967"/>
          <w:tab w:val="left" w:pos="2968"/>
        </w:tabs>
        <w:spacing w:before="2"/>
        <w:ind w:left="2967"/>
        <w:jc w:val="left"/>
      </w:pPr>
      <w:r>
        <w:rPr>
          <w:u w:val="thick"/>
        </w:rPr>
        <w:t>STANDARD FOR</w:t>
      </w:r>
      <w:r>
        <w:rPr>
          <w:spacing w:val="-2"/>
          <w:u w:val="thick"/>
        </w:rPr>
        <w:t xml:space="preserve"> </w:t>
      </w:r>
      <w:r>
        <w:rPr>
          <w:u w:val="thick"/>
        </w:rPr>
        <w:t>RECONSIDERATION</w:t>
      </w:r>
    </w:p>
    <w:p w14:paraId="7042A9F1" w14:textId="77777777" w:rsidR="00F22C3E" w:rsidRDefault="00F22C3E">
      <w:pPr>
        <w:pStyle w:val="BodyText"/>
        <w:rPr>
          <w:b/>
          <w:sz w:val="16"/>
        </w:rPr>
      </w:pPr>
    </w:p>
    <w:p w14:paraId="487E7078" w14:textId="396A5AAE" w:rsidR="00F22C3E" w:rsidRDefault="00F3225A">
      <w:pPr>
        <w:pStyle w:val="BodyText"/>
        <w:spacing w:before="90" w:line="480" w:lineRule="auto"/>
        <w:ind w:left="100" w:right="535" w:firstLine="720"/>
      </w:pPr>
      <w:r>
        <w:t>A motion to reconsider shall specify the errors of law or fact in the previous order and shall be supported by pertinent authority. INA § 240(c)(6)(C); 8 C.F.R. § 1003.</w:t>
      </w:r>
      <w:r w:rsidR="005F746C">
        <w:t>2</w:t>
      </w:r>
      <w:r>
        <w:t>(b)(1). In general, a respondent may file one motion to reconsider within 30 days of the date of a final removal order. INA § 240(c)(6)(</w:t>
      </w:r>
      <w:proofErr w:type="gramStart"/>
      <w:r>
        <w:t>A)&amp;</w:t>
      </w:r>
      <w:proofErr w:type="gramEnd"/>
      <w:r>
        <w:t>(B), 8 C.F.R. § 1003.2(b)(2).</w:t>
      </w:r>
    </w:p>
    <w:p w14:paraId="35AD976B" w14:textId="77777777" w:rsidR="00F22C3E" w:rsidRDefault="00F3225A">
      <w:pPr>
        <w:pStyle w:val="BodyText"/>
        <w:tabs>
          <w:tab w:val="left" w:pos="2959"/>
        </w:tabs>
        <w:spacing w:line="480" w:lineRule="auto"/>
        <w:ind w:left="100" w:right="609" w:firstLine="720"/>
      </w:pPr>
      <w:r>
        <w:rPr>
          <w:color w:val="FF0000"/>
        </w:rPr>
        <w:t xml:space="preserve">[If motion is filed within 30 days of BIA’s decision] </w:t>
      </w:r>
      <w:r>
        <w:t>The Board issued its decision in Respondent’s case 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This motion is timely filed within 30 days of the date of that decision].</w:t>
      </w:r>
    </w:p>
    <w:p w14:paraId="316989C9" w14:textId="7860F533" w:rsidR="00F22C3E" w:rsidRDefault="00F3225A" w:rsidP="00D94F7B">
      <w:pPr>
        <w:spacing w:line="480" w:lineRule="auto"/>
      </w:pPr>
      <w:r>
        <w:rPr>
          <w:color w:val="FF0000"/>
        </w:rPr>
        <w:t xml:space="preserve">[If more than 30 have elapsed since the date of the Board’s decision] </w:t>
      </w:r>
      <w:r>
        <w:t>The Board issued its decision in Respondent’s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The Board should treat the instant motion as a timely filed statutory motion to reconsider because Respondent merits equitable tolling of the time </w:t>
      </w:r>
      <w:r>
        <w:rPr>
          <w:color w:val="FF0000"/>
        </w:rPr>
        <w:t xml:space="preserve">[if applicable: </w:t>
      </w:r>
      <w:r>
        <w:t>and numeric</w:t>
      </w:r>
      <w:r>
        <w:rPr>
          <w:color w:val="FF0000"/>
        </w:rPr>
        <w:t xml:space="preserve">] </w:t>
      </w:r>
      <w:r>
        <w:t xml:space="preserve">limitations. </w:t>
      </w:r>
      <w:r>
        <w:rPr>
          <w:i/>
        </w:rPr>
        <w:t xml:space="preserve">See </w:t>
      </w:r>
      <w:r>
        <w:t xml:space="preserve">§ IV.B., </w:t>
      </w:r>
      <w:r>
        <w:rPr>
          <w:i/>
        </w:rPr>
        <w:t>infra</w:t>
      </w:r>
      <w:r w:rsidR="00E859AE">
        <w:t>.</w:t>
      </w:r>
      <w:r w:rsidR="00E859AE">
        <w:rPr>
          <w:rStyle w:val="FootnoteReference"/>
        </w:rPr>
        <w:footnoteReference w:id="1"/>
      </w:r>
      <w:r>
        <w:t xml:space="preserve"> </w:t>
      </w:r>
    </w:p>
    <w:p w14:paraId="38D7BF6F" w14:textId="77777777" w:rsidR="00F22C3E" w:rsidRDefault="00F3225A">
      <w:pPr>
        <w:pStyle w:val="Heading1"/>
        <w:numPr>
          <w:ilvl w:val="0"/>
          <w:numId w:val="4"/>
        </w:numPr>
        <w:tabs>
          <w:tab w:val="left" w:pos="4426"/>
          <w:tab w:val="left" w:pos="4427"/>
        </w:tabs>
        <w:spacing w:before="4"/>
        <w:ind w:left="4426"/>
        <w:jc w:val="left"/>
      </w:pPr>
      <w:r>
        <w:rPr>
          <w:u w:val="thick"/>
        </w:rPr>
        <w:t>ARGUMENT</w:t>
      </w:r>
    </w:p>
    <w:p w14:paraId="47D7CFE1" w14:textId="77777777" w:rsidR="00F22C3E" w:rsidRDefault="00F22C3E">
      <w:pPr>
        <w:pStyle w:val="BodyText"/>
        <w:spacing w:before="2"/>
        <w:rPr>
          <w:b/>
          <w:sz w:val="16"/>
        </w:rPr>
      </w:pPr>
    </w:p>
    <w:p w14:paraId="3D4EBA50" w14:textId="625E7295" w:rsidR="00221EFF" w:rsidRDefault="00F3225A" w:rsidP="00221EF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90"/>
        <w:ind w:right="563"/>
        <w:rPr>
          <w:b/>
          <w:sz w:val="24"/>
        </w:rPr>
      </w:pPr>
      <w:r w:rsidRPr="00221EFF">
        <w:rPr>
          <w:b/>
          <w:sz w:val="24"/>
        </w:rPr>
        <w:t xml:space="preserve">As a Matter of Law, </w:t>
      </w:r>
      <w:r w:rsidR="00221EFF" w:rsidRPr="00221EFF">
        <w:rPr>
          <w:b/>
          <w:sz w:val="24"/>
        </w:rPr>
        <w:t xml:space="preserve">the Board Erred in Finding </w:t>
      </w:r>
      <w:r w:rsidR="00070EEC">
        <w:rPr>
          <w:b/>
          <w:sz w:val="24"/>
        </w:rPr>
        <w:t xml:space="preserve">Jurisdiction over the </w:t>
      </w:r>
      <w:r w:rsidR="00221EFF" w:rsidRPr="00221EFF">
        <w:rPr>
          <w:b/>
          <w:sz w:val="24"/>
        </w:rPr>
        <w:t>Respondent</w:t>
      </w:r>
      <w:r w:rsidR="00070EEC">
        <w:rPr>
          <w:b/>
          <w:sz w:val="24"/>
        </w:rPr>
        <w:t>’s Removal Proceedings</w:t>
      </w:r>
    </w:p>
    <w:p w14:paraId="104E6529" w14:textId="77777777" w:rsidR="00221EFF" w:rsidRPr="00221EFF" w:rsidRDefault="00221EFF" w:rsidP="00221EFF">
      <w:pPr>
        <w:pStyle w:val="ListParagraph"/>
        <w:tabs>
          <w:tab w:val="left" w:pos="820"/>
          <w:tab w:val="left" w:pos="821"/>
        </w:tabs>
        <w:spacing w:before="90"/>
        <w:ind w:right="563" w:firstLine="0"/>
        <w:rPr>
          <w:b/>
          <w:sz w:val="24"/>
        </w:rPr>
      </w:pPr>
    </w:p>
    <w:p w14:paraId="76AB744E" w14:textId="33D37873" w:rsidR="003B49D7" w:rsidRDefault="00221EFF" w:rsidP="003B49D7">
      <w:pPr>
        <w:pStyle w:val="BodyText"/>
        <w:spacing w:line="480" w:lineRule="auto"/>
        <w:ind w:right="228"/>
      </w:pPr>
      <w:r>
        <w:tab/>
      </w:r>
      <w:r w:rsidRPr="005C09ED">
        <w:t>In</w:t>
      </w:r>
      <w:r w:rsidR="0086179F">
        <w:t xml:space="preserve"> </w:t>
      </w:r>
      <w:r w:rsidR="0086179F">
        <w:rPr>
          <w:i/>
        </w:rPr>
        <w:t>Pereira v.</w:t>
      </w:r>
      <w:r w:rsidRPr="005C09ED">
        <w:t xml:space="preserve"> </w:t>
      </w:r>
      <w:r w:rsidRPr="005C09ED">
        <w:rPr>
          <w:i/>
        </w:rPr>
        <w:t>Sessions</w:t>
      </w:r>
      <w:r w:rsidRPr="005C09ED">
        <w:t xml:space="preserve">, the Supreme Court </w:t>
      </w:r>
      <w:r w:rsidR="004E6F6D">
        <w:t>stated,</w:t>
      </w:r>
      <w:r>
        <w:t xml:space="preserve"> </w:t>
      </w:r>
      <w:r w:rsidR="003B49D7">
        <w:t>“</w:t>
      </w:r>
      <w:r w:rsidR="003B49D7" w:rsidRPr="0007543A">
        <w:t>A notice that does not inform a noncitizen when and</w:t>
      </w:r>
      <w:r w:rsidR="003B49D7">
        <w:t xml:space="preserve"> </w:t>
      </w:r>
      <w:r w:rsidR="003B49D7" w:rsidRPr="0007543A">
        <w:t>where to appear for removal proceedings is not a “notice to</w:t>
      </w:r>
      <w:r w:rsidR="003B49D7">
        <w:t xml:space="preserve"> </w:t>
      </w:r>
      <w:r w:rsidR="003B49D7" w:rsidRPr="0007543A">
        <w:t xml:space="preserve">appear under section </w:t>
      </w:r>
      <w:r w:rsidR="003B49D7">
        <w:t>[</w:t>
      </w:r>
      <w:r w:rsidR="003B49D7" w:rsidRPr="0007543A">
        <w:t>2</w:t>
      </w:r>
      <w:r w:rsidR="003B49D7">
        <w:t>3</w:t>
      </w:r>
      <w:r w:rsidR="003B49D7" w:rsidRPr="0007543A">
        <w:t>9(a)</w:t>
      </w:r>
      <w:r w:rsidR="003B49D7">
        <w:t>]</w:t>
      </w:r>
      <w:r w:rsidR="00817329">
        <w:t>.</w:t>
      </w:r>
      <w:r w:rsidR="003B49D7" w:rsidRPr="0007543A">
        <w:t>”</w:t>
      </w:r>
      <w:r w:rsidR="008405CD">
        <w:t xml:space="preserve"> </w:t>
      </w:r>
      <w:proofErr w:type="gramStart"/>
      <w:r w:rsidR="00817329">
        <w:rPr>
          <w:i/>
        </w:rPr>
        <w:t>Pereira</w:t>
      </w:r>
      <w:r w:rsidR="00817329">
        <w:t>,</w:t>
      </w:r>
      <w:proofErr w:type="gramEnd"/>
      <w:r w:rsidR="00817329">
        <w:t xml:space="preserve"> slip op. 2</w:t>
      </w:r>
      <w:r w:rsidR="00A82D36">
        <w:t>.</w:t>
      </w:r>
      <w:r w:rsidR="005C10D1">
        <w:t xml:space="preserve">  </w:t>
      </w:r>
      <w:r w:rsidR="00616FFD">
        <w:t>In the Respondent’s case</w:t>
      </w:r>
      <w:r w:rsidR="00C6169F">
        <w:t>,</w:t>
      </w:r>
      <w:r w:rsidR="00616FFD">
        <w:t xml:space="preserve"> under </w:t>
      </w:r>
      <w:r w:rsidR="00616FFD">
        <w:rPr>
          <w:i/>
        </w:rPr>
        <w:t>Pereira</w:t>
      </w:r>
      <w:r w:rsidR="00C6169F">
        <w:t xml:space="preserve"> </w:t>
      </w:r>
      <w:r w:rsidR="000C639D">
        <w:t>the putative notice to appear issued against</w:t>
      </w:r>
      <w:r w:rsidR="00D34BB3">
        <w:t xml:space="preserve"> </w:t>
      </w:r>
      <w:r w:rsidR="00D34BB3" w:rsidRPr="00D94F7B">
        <w:rPr>
          <w:color w:val="FF0000"/>
        </w:rPr>
        <w:t>[him/her]</w:t>
      </w:r>
      <w:r w:rsidR="000C639D">
        <w:t xml:space="preserve"> </w:t>
      </w:r>
      <w:r w:rsidR="00AB6544">
        <w:t xml:space="preserve">is not a “notice to appear under section [239(a)]” and therefore is insufficient to establish jurisdiction over this matter for either the immigration court or this Board. Accordingly, </w:t>
      </w:r>
      <w:r w:rsidR="00563A3B">
        <w:t xml:space="preserve">the Board should reconsider its decision in the Respondent’s case and terminate </w:t>
      </w:r>
      <w:r w:rsidR="000C639D" w:rsidRPr="00D94F7B">
        <w:rPr>
          <w:color w:val="FF0000"/>
        </w:rPr>
        <w:t>[his/her]</w:t>
      </w:r>
      <w:r w:rsidR="000C639D">
        <w:t xml:space="preserve"> </w:t>
      </w:r>
      <w:r w:rsidR="00563A3B">
        <w:t>removal proceedings.</w:t>
      </w:r>
    </w:p>
    <w:p w14:paraId="310317BB" w14:textId="062E2CB1" w:rsidR="006E0ADB" w:rsidRDefault="00CC649B" w:rsidP="003B49D7">
      <w:pPr>
        <w:pStyle w:val="BodyText"/>
        <w:spacing w:line="480" w:lineRule="auto"/>
        <w:ind w:right="228"/>
      </w:pPr>
      <w:r>
        <w:tab/>
        <w:t xml:space="preserve">Section 239 of the INA is titled “Initiation of removal proceedings,” and lays out various requirements for the government to commence removal proceedings against an individual. </w:t>
      </w:r>
      <w:r>
        <w:rPr>
          <w:i/>
        </w:rPr>
        <w:t>See generally</w:t>
      </w:r>
      <w:r>
        <w:t xml:space="preserve"> INA</w:t>
      </w:r>
      <w:r w:rsidR="00566CDE">
        <w:t xml:space="preserve"> §</w:t>
      </w:r>
      <w:r>
        <w:t xml:space="preserve"> 239.  </w:t>
      </w:r>
      <w:r w:rsidR="000760EA">
        <w:t xml:space="preserve">Within § 239, INA § 239(a) requires the issuance of a “notice to appear” that contains certain specified information. </w:t>
      </w:r>
      <w:r w:rsidR="000760EA">
        <w:rPr>
          <w:i/>
        </w:rPr>
        <w:t xml:space="preserve"> See</w:t>
      </w:r>
      <w:r w:rsidR="000760EA">
        <w:t xml:space="preserve"> INA § 239(a)(1)(A)-(G).</w:t>
      </w:r>
      <w:r w:rsidR="002D4CF4">
        <w:t xml:space="preserve">  The</w:t>
      </w:r>
      <w:r w:rsidR="00557DCB">
        <w:t xml:space="preserve"> required information includes the time and place of the first hearing before the immigration court.  </w:t>
      </w:r>
      <w:r w:rsidR="00557DCB">
        <w:rPr>
          <w:i/>
        </w:rPr>
        <w:t>See Pereira</w:t>
      </w:r>
      <w:r w:rsidR="00557DCB">
        <w:t>, slip op. 3 (citing INA § 239(a)).</w:t>
      </w:r>
      <w:r w:rsidR="000760EA">
        <w:t xml:space="preserve">  </w:t>
      </w:r>
    </w:p>
    <w:p w14:paraId="22EB7539" w14:textId="7163021E" w:rsidR="001D251D" w:rsidRPr="00C6169F" w:rsidRDefault="00D76858" w:rsidP="00D94F7B">
      <w:pPr>
        <w:pStyle w:val="BodyText"/>
        <w:spacing w:line="480" w:lineRule="auto"/>
        <w:ind w:right="228" w:firstLine="720"/>
      </w:pPr>
      <w:r>
        <w:t>The</w:t>
      </w:r>
      <w:r w:rsidR="006E0ADB">
        <w:t xml:space="preserve"> implementing regulations for</w:t>
      </w:r>
      <w:r w:rsidR="00DC0EC6">
        <w:t xml:space="preserve"> the commencement and procedures of</w:t>
      </w:r>
      <w:r w:rsidR="006E0ADB">
        <w:t xml:space="preserve"> removal proceedings</w:t>
      </w:r>
      <w:r>
        <w:t xml:space="preserve"> specify that </w:t>
      </w:r>
      <w:r w:rsidR="009E1CD9">
        <w:t>“</w:t>
      </w:r>
      <w:r>
        <w:t>[j]</w:t>
      </w:r>
      <w:proofErr w:type="spellStart"/>
      <w:r w:rsidR="009E1CD9">
        <w:t>urisdiction</w:t>
      </w:r>
      <w:proofErr w:type="spellEnd"/>
      <w:r w:rsidR="009E1CD9">
        <w:t xml:space="preserve"> vests, and proceedings before an Immigration Judge commence, when a charging document is filed with the Immigration Court by the Service.” </w:t>
      </w:r>
      <w:r>
        <w:t>8 C.F.R. § 1003.14(a).</w:t>
      </w:r>
      <w:r w:rsidR="0066058D">
        <w:t xml:space="preserve"> </w:t>
      </w:r>
      <w:r w:rsidR="005F48D3">
        <w:t xml:space="preserve">They further specify that the requisite “charging document” can include a “Notice to Appear, a Notice of Referral to Immigration Judge, and a Notice of Intention to Rescind and Request for Hearing by Alien.” 8 C.F.R. § 1003.13. </w:t>
      </w:r>
      <w:r w:rsidR="00927565">
        <w:t>In the Respondent’s case</w:t>
      </w:r>
      <w:r w:rsidR="00A76110">
        <w:t>, DHS filed a putative Notice to Appear</w:t>
      </w:r>
      <w:r w:rsidR="00290607">
        <w:rPr>
          <w:rStyle w:val="FootnoteReference"/>
        </w:rPr>
        <w:footnoteReference w:id="2"/>
      </w:r>
      <w:r w:rsidR="00597DB1">
        <w:t xml:space="preserve"> that failed to specify the time or place of </w:t>
      </w:r>
      <w:r w:rsidR="00597DB1" w:rsidRPr="00D94F7B">
        <w:rPr>
          <w:color w:val="FF0000"/>
        </w:rPr>
        <w:t>his/her</w:t>
      </w:r>
      <w:r w:rsidR="00597DB1">
        <w:t xml:space="preserve"> first hearing before the immigration court</w:t>
      </w:r>
      <w:r w:rsidR="00C65320">
        <w:t xml:space="preserve">. </w:t>
      </w:r>
      <w:r w:rsidR="00A76110">
        <w:t xml:space="preserve"> </w:t>
      </w:r>
      <w:r w:rsidR="00290607">
        <w:rPr>
          <w:i/>
        </w:rPr>
        <w:t xml:space="preserve">See </w:t>
      </w:r>
      <w:r w:rsidR="00290607">
        <w:t>Notice to</w:t>
      </w:r>
      <w:r w:rsidR="00290607">
        <w:rPr>
          <w:spacing w:val="-1"/>
        </w:rPr>
        <w:t xml:space="preserve"> </w:t>
      </w:r>
      <w:r w:rsidR="00290607">
        <w:t>Appear,</w:t>
      </w:r>
      <w:r w:rsidR="00290607">
        <w:rPr>
          <w:spacing w:val="-1"/>
        </w:rPr>
        <w:t xml:space="preserve"> </w:t>
      </w:r>
      <w:r w:rsidR="00290607">
        <w:t>dated</w:t>
      </w:r>
      <w:r w:rsidR="00290607">
        <w:rPr>
          <w:u w:val="single"/>
        </w:rPr>
        <w:t xml:space="preserve"> </w:t>
      </w:r>
      <w:r w:rsidR="00290607">
        <w:rPr>
          <w:u w:val="single"/>
        </w:rPr>
        <w:tab/>
      </w:r>
      <w:r w:rsidR="00290607">
        <w:t>.</w:t>
      </w:r>
      <w:r w:rsidR="00CC649B">
        <w:t xml:space="preserve">  </w:t>
      </w:r>
    </w:p>
    <w:p w14:paraId="2A8B7E0F" w14:textId="02CF44B3" w:rsidR="00221EFF" w:rsidRDefault="00087B56" w:rsidP="00221EFF">
      <w:pPr>
        <w:pStyle w:val="BodyText"/>
        <w:spacing w:line="480" w:lineRule="auto"/>
        <w:ind w:right="228"/>
      </w:pPr>
      <w:r>
        <w:tab/>
        <w:t xml:space="preserve">In </w:t>
      </w:r>
      <w:r>
        <w:rPr>
          <w:i/>
        </w:rPr>
        <w:t>Pereira</w:t>
      </w:r>
      <w:r>
        <w:t>, the noncitizen</w:t>
      </w:r>
      <w:r w:rsidR="00566CDE">
        <w:t>—like the Respondent here—</w:t>
      </w:r>
      <w:r>
        <w:t>was served with a document that was styled as a notice to appear</w:t>
      </w:r>
      <w:r w:rsidR="00F31B28">
        <w:t xml:space="preserve"> (i.e., a “putative notice”</w:t>
      </w:r>
      <w:r w:rsidR="00C8597A">
        <w:t>)</w:t>
      </w:r>
      <w:r>
        <w:t xml:space="preserve">, but that </w:t>
      </w:r>
      <w:r w:rsidR="00443FD1">
        <w:t>“</w:t>
      </w:r>
      <w:r>
        <w:t>did not</w:t>
      </w:r>
      <w:r w:rsidR="00443FD1">
        <w:t xml:space="preserve"> specify </w:t>
      </w:r>
      <w:r>
        <w:t>the</w:t>
      </w:r>
      <w:r w:rsidR="00443FD1">
        <w:t xml:space="preserve"> date and</w:t>
      </w:r>
      <w:r>
        <w:t xml:space="preserve"> time of</w:t>
      </w:r>
      <w:r w:rsidR="00443FD1">
        <w:t xml:space="preserve"> [his] removal hearing.”</w:t>
      </w:r>
      <w:r>
        <w:t xml:space="preserve"> </w:t>
      </w:r>
      <w:proofErr w:type="gramStart"/>
      <w:r w:rsidR="00443FD1">
        <w:rPr>
          <w:i/>
        </w:rPr>
        <w:t>Pereira</w:t>
      </w:r>
      <w:r w:rsidR="00443FD1">
        <w:t>,</w:t>
      </w:r>
      <w:proofErr w:type="gramEnd"/>
      <w:r w:rsidR="00443FD1">
        <w:t xml:space="preserve"> slip op. at 6</w:t>
      </w:r>
      <w:r w:rsidR="00DB4A9D">
        <w:t xml:space="preserve">. </w:t>
      </w:r>
      <w:r w:rsidR="00443FD1">
        <w:t xml:space="preserve">“Pereira then </w:t>
      </w:r>
      <w:r w:rsidR="00FC4CD6">
        <w:t>applied for cancellation of removal</w:t>
      </w:r>
      <w:r w:rsidR="00443FD1">
        <w:t>”</w:t>
      </w:r>
      <w:r w:rsidR="00FC4CD6">
        <w:t xml:space="preserve"> under INA § 240A(b)(1)</w:t>
      </w:r>
      <w:r w:rsidR="00F54243">
        <w:t>, but the Immigration Judge (IJ) pretermitted his application</w:t>
      </w:r>
      <w:r w:rsidR="00597DB1">
        <w:t xml:space="preserve"> and ordered him removed</w:t>
      </w:r>
      <w:r w:rsidR="00F54243">
        <w:t>.</w:t>
      </w:r>
      <w:r w:rsidR="00443FD1">
        <w:t xml:space="preserve"> </w:t>
      </w:r>
      <w:proofErr w:type="gramStart"/>
      <w:r w:rsidR="00443FD1">
        <w:rPr>
          <w:i/>
        </w:rPr>
        <w:t>Pereira</w:t>
      </w:r>
      <w:r w:rsidR="00443FD1">
        <w:t>,</w:t>
      </w:r>
      <w:proofErr w:type="gramEnd"/>
      <w:r w:rsidR="00443FD1">
        <w:t xml:space="preserve"> slip op. at 6-7</w:t>
      </w:r>
      <w:r w:rsidR="00F54243">
        <w:t>. This Board affirmed the IJ’s decision</w:t>
      </w:r>
      <w:r w:rsidR="008E66A1">
        <w:t xml:space="preserve">, and the First Circuit deferred to the Board.  </w:t>
      </w:r>
      <w:proofErr w:type="gramStart"/>
      <w:r w:rsidR="008E66A1">
        <w:rPr>
          <w:i/>
        </w:rPr>
        <w:t>Pe</w:t>
      </w:r>
      <w:r w:rsidR="0013005E">
        <w:rPr>
          <w:i/>
        </w:rPr>
        <w:t>reira</w:t>
      </w:r>
      <w:r w:rsidR="0013005E">
        <w:t>,</w:t>
      </w:r>
      <w:proofErr w:type="gramEnd"/>
      <w:r w:rsidR="0013005E">
        <w:t xml:space="preserve"> slip op. 7</w:t>
      </w:r>
      <w:r w:rsidR="006C76C0">
        <w:t>.</w:t>
      </w:r>
      <w:r w:rsidR="008E66A1" w:rsidDel="000C639D">
        <w:t xml:space="preserve"> </w:t>
      </w:r>
    </w:p>
    <w:p w14:paraId="6A5102E9" w14:textId="0AE8AE84" w:rsidR="00CA5250" w:rsidRPr="00254B8B" w:rsidRDefault="00221EFF">
      <w:pPr>
        <w:pStyle w:val="BodyText"/>
        <w:spacing w:line="480" w:lineRule="auto"/>
        <w:ind w:right="228"/>
      </w:pPr>
      <w:r>
        <w:tab/>
      </w:r>
      <w:r w:rsidRPr="00C31658">
        <w:t xml:space="preserve">The Supreme Court </w:t>
      </w:r>
      <w:r w:rsidR="00750DF9">
        <w:t>reversed</w:t>
      </w:r>
      <w:r w:rsidRPr="00C31658">
        <w:t xml:space="preserve">, </w:t>
      </w:r>
      <w:r w:rsidR="000F7D71">
        <w:t>holding</w:t>
      </w:r>
      <w:r w:rsidR="00566CDE">
        <w:t>, in the context of eligibility for cancellation of removal,</w:t>
      </w:r>
      <w:r w:rsidRPr="00C31658">
        <w:t xml:space="preserve"> that</w:t>
      </w:r>
      <w:r w:rsidR="00515C57">
        <w:t xml:space="preserve"> “[a] putative notice to appear that fails to designate the specific time or place of the noncitizen’s removal proceedings is not a “notice to appear under section [239(a)]</w:t>
      </w:r>
      <w:r w:rsidR="003D1822">
        <w:t>.</w:t>
      </w:r>
      <w:r w:rsidR="002E5CB3">
        <w:t>”</w:t>
      </w:r>
      <w:r w:rsidR="00AD77BB">
        <w:t xml:space="preserve"> </w:t>
      </w:r>
      <w:bookmarkStart w:id="1" w:name="_Hlk518395056"/>
      <w:r w:rsidR="000F7D71">
        <w:t xml:space="preserve"> </w:t>
      </w:r>
      <w:proofErr w:type="gramStart"/>
      <w:r w:rsidR="002E5CB3">
        <w:rPr>
          <w:i/>
        </w:rPr>
        <w:t>Pereira</w:t>
      </w:r>
      <w:r w:rsidR="002E5CB3">
        <w:t>,</w:t>
      </w:r>
      <w:proofErr w:type="gramEnd"/>
      <w:r w:rsidR="002E5CB3">
        <w:t xml:space="preserve"> slip op. 9</w:t>
      </w:r>
      <w:r w:rsidR="000F7D71">
        <w:t>.</w:t>
      </w:r>
      <w:r w:rsidR="005C5DE2">
        <w:t xml:space="preserve"> </w:t>
      </w:r>
      <w:r w:rsidR="000F7D71">
        <w:t xml:space="preserve"> The Court </w:t>
      </w:r>
      <w:r w:rsidR="00D94F7B">
        <w:t xml:space="preserve">found that </w:t>
      </w:r>
      <w:r w:rsidR="000F7D71">
        <w:t>the “</w:t>
      </w:r>
      <w:r w:rsidR="00CA5250" w:rsidRPr="0007543A">
        <w:t>plain text, the statutory</w:t>
      </w:r>
      <w:r w:rsidR="00CA5250">
        <w:t xml:space="preserve"> </w:t>
      </w:r>
      <w:r w:rsidR="00CA5250" w:rsidRPr="0007543A">
        <w:t>context, and common sense</w:t>
      </w:r>
      <w:r w:rsidR="00D94F7B">
        <w:t xml:space="preserve"> all lead inescapably and unambiguously to that conclusion</w:t>
      </w:r>
      <w:bookmarkEnd w:id="1"/>
      <w:r w:rsidR="003B6E5E">
        <w:t>.</w:t>
      </w:r>
      <w:bookmarkStart w:id="2" w:name="_GoBack"/>
      <w:bookmarkEnd w:id="2"/>
      <w:r w:rsidR="003B6E5E">
        <w:t xml:space="preserve">” </w:t>
      </w:r>
      <w:r w:rsidR="007235BE" w:rsidRPr="007235BE">
        <w:rPr>
          <w:i/>
        </w:rPr>
        <w:t>Pereira</w:t>
      </w:r>
      <w:r w:rsidR="007235BE">
        <w:t>, sl</w:t>
      </w:r>
      <w:r w:rsidR="003C054A">
        <w:t>i</w:t>
      </w:r>
      <w:r w:rsidR="007235BE">
        <w:t>p op. at 2.</w:t>
      </w:r>
      <w:r w:rsidR="005C5DE2">
        <w:t xml:space="preserve">  </w:t>
      </w:r>
      <w:r w:rsidR="00F669D7">
        <w:t>T</w:t>
      </w:r>
      <w:r w:rsidR="000E5DD9">
        <w:t xml:space="preserve">he import of the </w:t>
      </w:r>
      <w:r w:rsidR="000E5DD9">
        <w:rPr>
          <w:i/>
        </w:rPr>
        <w:t>Pereira</w:t>
      </w:r>
      <w:r w:rsidR="000E5DD9">
        <w:t xml:space="preserve"> decision </w:t>
      </w:r>
      <w:r w:rsidR="00F669D7">
        <w:t xml:space="preserve">in the Respondent’s case </w:t>
      </w:r>
      <w:r w:rsidR="000E5DD9">
        <w:t xml:space="preserve">is the </w:t>
      </w:r>
      <w:r w:rsidR="00F669D7">
        <w:t xml:space="preserve">Supreme </w:t>
      </w:r>
      <w:r w:rsidR="000E5DD9">
        <w:t>Court’s constru</w:t>
      </w:r>
      <w:r w:rsidR="003C054A">
        <w:t>ing</w:t>
      </w:r>
      <w:r w:rsidR="000E5DD9">
        <w:t xml:space="preserve"> the </w:t>
      </w:r>
      <w:r w:rsidR="003C054A">
        <w:t>statutory phrase “</w:t>
      </w:r>
      <w:r w:rsidR="003C054A" w:rsidRPr="0007543A">
        <w:t>notice to</w:t>
      </w:r>
      <w:r w:rsidR="003C054A">
        <w:t xml:space="preserve"> </w:t>
      </w:r>
      <w:r w:rsidR="003C054A" w:rsidRPr="0007543A">
        <w:t xml:space="preserve">appear under section </w:t>
      </w:r>
      <w:r w:rsidR="003C054A">
        <w:t>[</w:t>
      </w:r>
      <w:r w:rsidR="003C054A" w:rsidRPr="0007543A">
        <w:t>2</w:t>
      </w:r>
      <w:r w:rsidR="003C054A">
        <w:t>3</w:t>
      </w:r>
      <w:r w:rsidR="003C054A" w:rsidRPr="0007543A">
        <w:t>9(a)</w:t>
      </w:r>
      <w:r w:rsidR="003C054A">
        <w:t xml:space="preserve">]” as </w:t>
      </w:r>
      <w:r w:rsidR="00166156">
        <w:t>requiring</w:t>
      </w:r>
      <w:r w:rsidR="00132BF1">
        <w:t xml:space="preserve"> the</w:t>
      </w:r>
      <w:r w:rsidR="00F669D7">
        <w:t xml:space="preserve"> inclusion of</w:t>
      </w:r>
      <w:r w:rsidR="00132BF1">
        <w:t xml:space="preserve"> time and place information specified at INA § 239(a)(G).</w:t>
      </w:r>
      <w:r w:rsidR="0026541B">
        <w:t xml:space="preserve">  </w:t>
      </w:r>
      <w:r w:rsidR="00254B8B">
        <w:t xml:space="preserve">Under </w:t>
      </w:r>
      <w:r w:rsidR="00254B8B">
        <w:rPr>
          <w:i/>
        </w:rPr>
        <w:t>Pereira</w:t>
      </w:r>
      <w:r w:rsidR="00254B8B">
        <w:t>, a putative notice to appear that does not have this information is not a notice to appear as defined under the INA.</w:t>
      </w:r>
    </w:p>
    <w:p w14:paraId="1AE1AFFD" w14:textId="367D030A" w:rsidR="00221EFF" w:rsidRPr="00910B1D" w:rsidRDefault="00680821" w:rsidP="00910B1D">
      <w:pPr>
        <w:pStyle w:val="BodyText"/>
        <w:spacing w:line="480" w:lineRule="auto"/>
        <w:ind w:right="228"/>
        <w:rPr>
          <w:color w:val="FF0000"/>
        </w:rPr>
      </w:pPr>
      <w:r>
        <w:rPr>
          <w:color w:val="FF0000"/>
        </w:rPr>
        <w:tab/>
      </w:r>
      <w:r w:rsidR="00221EFF">
        <w:t xml:space="preserve">Like the </w:t>
      </w:r>
      <w:r w:rsidR="000102D6">
        <w:t>noncitizen in</w:t>
      </w:r>
      <w:r w:rsidR="00221EFF">
        <w:t xml:space="preserve"> </w:t>
      </w:r>
      <w:proofErr w:type="gramStart"/>
      <w:r w:rsidR="000102D6">
        <w:rPr>
          <w:i/>
        </w:rPr>
        <w:t>Pereira</w:t>
      </w:r>
      <w:r w:rsidR="00221EFF">
        <w:t xml:space="preserve">, </w:t>
      </w:r>
      <w:r w:rsidR="00103FDE">
        <w:t xml:space="preserve"> the</w:t>
      </w:r>
      <w:proofErr w:type="gramEnd"/>
      <w:r w:rsidR="00103FDE">
        <w:t xml:space="preserve"> </w:t>
      </w:r>
      <w:r w:rsidR="00221EFF">
        <w:t>Respondent was</w:t>
      </w:r>
      <w:r w:rsidR="000D5885">
        <w:t xml:space="preserve"> ordered removed on the basis of a putative notice to appear that did not contain the requisite time or place information under the INA and the implementing regulations.</w:t>
      </w:r>
      <w:r w:rsidR="006B3CF1">
        <w:t xml:space="preserve"> </w:t>
      </w:r>
      <w:r w:rsidR="00221EFF">
        <w:t xml:space="preserve"> </w:t>
      </w:r>
      <w:r w:rsidR="00221EFF">
        <w:rPr>
          <w:i/>
        </w:rPr>
        <w:t xml:space="preserve">See </w:t>
      </w:r>
      <w:r w:rsidR="00221EFF">
        <w:t xml:space="preserve">BIA Decision at </w:t>
      </w:r>
      <w:proofErr w:type="gramStart"/>
      <w:r w:rsidR="00221EFF">
        <w:t>p.</w:t>
      </w:r>
      <w:r w:rsidR="00221EFF">
        <w:rPr>
          <w:u w:val="single"/>
        </w:rPr>
        <w:t xml:space="preserve"> </w:t>
      </w:r>
      <w:r w:rsidR="00BF4741">
        <w:t>.</w:t>
      </w:r>
      <w:proofErr w:type="gramEnd"/>
      <w:r w:rsidR="00E604FA">
        <w:t xml:space="preserve"> </w:t>
      </w:r>
      <w:r w:rsidR="00221EFF">
        <w:t xml:space="preserve"> </w:t>
      </w:r>
      <w:proofErr w:type="gramStart"/>
      <w:r w:rsidR="00221EFF">
        <w:t>In light of</w:t>
      </w:r>
      <w:proofErr w:type="gramEnd"/>
      <w:r w:rsidR="00221EFF">
        <w:t xml:space="preserve"> the Supreme Court’s decision in </w:t>
      </w:r>
      <w:r w:rsidR="00582E97">
        <w:rPr>
          <w:i/>
        </w:rPr>
        <w:t>Pereira</w:t>
      </w:r>
      <w:r w:rsidR="00221EFF">
        <w:rPr>
          <w:iCs/>
        </w:rPr>
        <w:t>,</w:t>
      </w:r>
      <w:r w:rsidR="00221EFF">
        <w:t xml:space="preserve"> the Board should grant reconsideration and</w:t>
      </w:r>
      <w:r w:rsidR="006B3CF1">
        <w:t xml:space="preserve"> terminate</w:t>
      </w:r>
      <w:r w:rsidR="00582E97">
        <w:t xml:space="preserve"> </w:t>
      </w:r>
      <w:r w:rsidR="00221EFF">
        <w:t>removal proceedings</w:t>
      </w:r>
      <w:r w:rsidR="00582E97">
        <w:t xml:space="preserve"> </w:t>
      </w:r>
      <w:r w:rsidR="006B3CF1">
        <w:t>against the Respondent.</w:t>
      </w:r>
    </w:p>
    <w:p w14:paraId="5F293EEC" w14:textId="77777777" w:rsidR="00F22C3E" w:rsidRPr="00221EFF" w:rsidRDefault="00221EFF" w:rsidP="00221EFF">
      <w:pPr>
        <w:pStyle w:val="BodyText"/>
        <w:spacing w:line="480" w:lineRule="auto"/>
        <w:ind w:left="100" w:right="236" w:firstLine="720"/>
      </w:pPr>
      <w:r>
        <w:rPr>
          <w:color w:val="FF0000"/>
        </w:rPr>
        <w:t>[If more than 30 days have elapsed since the BIA’s decision, insert section B]</w:t>
      </w:r>
    </w:p>
    <w:p w14:paraId="4C5FBE8C" w14:textId="77777777" w:rsidR="00F22C3E" w:rsidRDefault="00F3225A">
      <w:pPr>
        <w:pStyle w:val="Heading1"/>
        <w:numPr>
          <w:ilvl w:val="0"/>
          <w:numId w:val="2"/>
        </w:numPr>
        <w:tabs>
          <w:tab w:val="left" w:pos="821"/>
        </w:tabs>
        <w:spacing w:before="187"/>
        <w:ind w:right="180" w:hanging="720"/>
        <w:jc w:val="both"/>
        <w:rPr>
          <w:b w:val="0"/>
        </w:rPr>
      </w:pPr>
      <w:r>
        <w:t>THE BOARD SHOULD TREAT THE INSTANT MOTION AS A TIMELY FILED STATUTORY MOTION BECAUSE RESPONDENT MERITS EQUITABLE TOLLING OF THE TIME AND NUMERICAL LIMITATIONS</w:t>
      </w:r>
      <w:r>
        <w:rPr>
          <w:b w:val="0"/>
        </w:rPr>
        <w:t>.</w:t>
      </w:r>
    </w:p>
    <w:p w14:paraId="101DE065" w14:textId="77777777" w:rsidR="00F22C3E" w:rsidRDefault="00F22C3E">
      <w:pPr>
        <w:pStyle w:val="BodyText"/>
      </w:pPr>
    </w:p>
    <w:p w14:paraId="65364CDE" w14:textId="77777777" w:rsidR="00F22C3E" w:rsidRDefault="00F3225A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rPr>
          <w:b/>
          <w:sz w:val="24"/>
        </w:rPr>
      </w:pPr>
      <w:r>
        <w:rPr>
          <w:b/>
          <w:sz w:val="24"/>
        </w:rPr>
        <w:t>Standard for Equitable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Tolling</w:t>
      </w:r>
    </w:p>
    <w:p w14:paraId="19CF2882" w14:textId="77777777" w:rsidR="00F22C3E" w:rsidRDefault="00F3225A">
      <w:pPr>
        <w:pStyle w:val="BodyText"/>
        <w:spacing w:before="76" w:line="480" w:lineRule="auto"/>
        <w:ind w:left="100" w:right="550" w:firstLine="720"/>
      </w:pPr>
      <w:r>
        <w:t>A motion to reconsider must be filed within 30 days of entry of a final administrative order of removal, INA § 240(c)(6)(B), or, under the doctrine of equitable tolling, as soon as practicable after finding out about an extraordinary circumstance that prevented timely filing.</w:t>
      </w:r>
    </w:p>
    <w:p w14:paraId="3B51CFE1" w14:textId="77777777" w:rsidR="00F22C3E" w:rsidRDefault="00F3225A">
      <w:pPr>
        <w:pStyle w:val="BodyText"/>
        <w:spacing w:before="1" w:line="480" w:lineRule="auto"/>
        <w:ind w:left="100" w:right="236" w:firstLine="720"/>
      </w:pPr>
      <w:r>
        <w:t xml:space="preserve">The Supreme Court concisely and repeatedly has articulated the standard for determining whether an individual is “entitled to equitable tolling.” </w:t>
      </w:r>
      <w:r>
        <w:rPr>
          <w:i/>
        </w:rPr>
        <w:t>See</w:t>
      </w:r>
      <w:r>
        <w:t xml:space="preserve">, </w:t>
      </w:r>
      <w:r>
        <w:rPr>
          <w:i/>
        </w:rPr>
        <w:t>e</w:t>
      </w:r>
      <w:r>
        <w:t>.</w:t>
      </w:r>
      <w:r>
        <w:rPr>
          <w:i/>
        </w:rPr>
        <w:t>g</w:t>
      </w:r>
      <w:r>
        <w:t xml:space="preserve">., </w:t>
      </w:r>
      <w:r>
        <w:rPr>
          <w:i/>
        </w:rPr>
        <w:t>Holland v. Florida</w:t>
      </w:r>
      <w:r>
        <w:t>, 560 U.S.</w:t>
      </w:r>
    </w:p>
    <w:p w14:paraId="4CA0BD9C" w14:textId="77777777" w:rsidR="00F22C3E" w:rsidRDefault="00F3225A">
      <w:pPr>
        <w:spacing w:line="480" w:lineRule="auto"/>
        <w:ind w:left="100" w:right="173"/>
        <w:rPr>
          <w:sz w:val="24"/>
        </w:rPr>
      </w:pPr>
      <w:r>
        <w:rPr>
          <w:sz w:val="24"/>
        </w:rPr>
        <w:t xml:space="preserve">631, 632 (2010). Specifically, an individual must show “‘(1) that he has been pursuing his rights diligently, and (2) that some extraordinary circumstance stood in his way’ and prevented timely filing.” </w:t>
      </w:r>
      <w:r>
        <w:rPr>
          <w:i/>
          <w:sz w:val="24"/>
        </w:rPr>
        <w:t xml:space="preserve">Id. </w:t>
      </w:r>
      <w:r>
        <w:rPr>
          <w:sz w:val="24"/>
        </w:rPr>
        <w:t xml:space="preserve">(quoting </w:t>
      </w:r>
      <w:r>
        <w:rPr>
          <w:i/>
          <w:sz w:val="24"/>
        </w:rPr>
        <w:t xml:space="preserve">Pace v. </w:t>
      </w:r>
      <w:proofErr w:type="spellStart"/>
      <w:r>
        <w:rPr>
          <w:i/>
          <w:sz w:val="24"/>
        </w:rPr>
        <w:t>DiGuglielmo</w:t>
      </w:r>
      <w:proofErr w:type="spellEnd"/>
      <w:r>
        <w:rPr>
          <w:sz w:val="24"/>
        </w:rPr>
        <w:t xml:space="preserve">, 544 U.S. 408, 418 (2005)). </w:t>
      </w:r>
      <w:r>
        <w:rPr>
          <w:i/>
          <w:sz w:val="24"/>
        </w:rPr>
        <w:t>See also Credit Suisse Securities (USA) LLC v. Simmonds</w:t>
      </w:r>
      <w:r>
        <w:rPr>
          <w:sz w:val="24"/>
        </w:rPr>
        <w:t xml:space="preserve">, 132 S. Ct. 1414, 1419 (2012); </w:t>
      </w:r>
      <w:r>
        <w:rPr>
          <w:i/>
          <w:sz w:val="24"/>
        </w:rPr>
        <w:t>Lawrence v. Florida</w:t>
      </w:r>
      <w:r>
        <w:rPr>
          <w:sz w:val="24"/>
        </w:rPr>
        <w:t>, 549 U.S. 327, 336 (2007). The Supreme Court also requires that those seeking equitable tolling pursue</w:t>
      </w:r>
    </w:p>
    <w:p w14:paraId="4D96DF77" w14:textId="77777777" w:rsidR="00F22C3E" w:rsidRDefault="00F3225A">
      <w:pPr>
        <w:pStyle w:val="BodyText"/>
        <w:spacing w:line="480" w:lineRule="auto"/>
        <w:ind w:left="100" w:right="709"/>
      </w:pPr>
      <w:r>
        <w:t xml:space="preserve">their claims with “reasonable diligence,” but they need not demonstrate “maximum feasible diligence.” </w:t>
      </w:r>
      <w:r>
        <w:rPr>
          <w:i/>
        </w:rPr>
        <w:t>Holland</w:t>
      </w:r>
      <w:r>
        <w:t>, 560 U.S. at 653 (internal quotations omitted).</w:t>
      </w:r>
    </w:p>
    <w:p w14:paraId="3007B13F" w14:textId="77777777" w:rsidR="00F22C3E" w:rsidRDefault="00F3225A">
      <w:pPr>
        <w:pStyle w:val="BodyText"/>
        <w:spacing w:line="480" w:lineRule="auto"/>
        <w:ind w:left="100" w:right="202" w:firstLine="720"/>
        <w:rPr>
          <w:i/>
        </w:rPr>
      </w:pPr>
      <w:r>
        <w:t xml:space="preserve">The Supreme Court also has recognized a rebuttable presumption that equitable tolling is read into every federal statute of limitations. </w:t>
      </w:r>
      <w:r>
        <w:rPr>
          <w:i/>
        </w:rPr>
        <w:t>Holland</w:t>
      </w:r>
      <w:r>
        <w:t xml:space="preserve">, 560 U.S. at 631. Thus, ten courts of appeals have recognized that motion deadlines in immigration cases are subject to equitable tolling. </w:t>
      </w:r>
      <w:r>
        <w:rPr>
          <w:i/>
        </w:rPr>
        <w:t xml:space="preserve">See </w:t>
      </w:r>
      <w:proofErr w:type="spellStart"/>
      <w:r>
        <w:rPr>
          <w:i/>
        </w:rPr>
        <w:t>Iavorski</w:t>
      </w:r>
      <w:proofErr w:type="spellEnd"/>
      <w:r>
        <w:rPr>
          <w:i/>
        </w:rPr>
        <w:t xml:space="preserve"> v. INS</w:t>
      </w:r>
      <w:r>
        <w:t xml:space="preserve">, 232 F.3d 124, 134 (2d Cir. 2000) (Sotomayor, J.); </w:t>
      </w:r>
      <w:r>
        <w:rPr>
          <w:i/>
        </w:rPr>
        <w:t>Borges v.</w:t>
      </w:r>
    </w:p>
    <w:p w14:paraId="32278FA2" w14:textId="77777777" w:rsidR="00F22C3E" w:rsidRDefault="00F3225A">
      <w:pPr>
        <w:spacing w:line="275" w:lineRule="exact"/>
        <w:ind w:left="100"/>
        <w:rPr>
          <w:sz w:val="24"/>
        </w:rPr>
      </w:pPr>
      <w:r>
        <w:rPr>
          <w:i/>
          <w:sz w:val="24"/>
        </w:rPr>
        <w:t>Gonzales</w:t>
      </w:r>
      <w:r>
        <w:rPr>
          <w:sz w:val="24"/>
        </w:rPr>
        <w:t xml:space="preserve">, 402 F.3d 398, 407 (3d Cir. 2005); </w:t>
      </w:r>
      <w:proofErr w:type="spellStart"/>
      <w:r>
        <w:rPr>
          <w:i/>
          <w:sz w:val="24"/>
        </w:rPr>
        <w:t>Kuusk</w:t>
      </w:r>
      <w:proofErr w:type="spellEnd"/>
      <w:r>
        <w:rPr>
          <w:i/>
          <w:sz w:val="24"/>
        </w:rPr>
        <w:t xml:space="preserve"> v. Holder</w:t>
      </w:r>
      <w:r>
        <w:rPr>
          <w:sz w:val="24"/>
        </w:rPr>
        <w:t>, 732 F.3d 302, 305 (4th Cir. 2013);</w:t>
      </w:r>
    </w:p>
    <w:p w14:paraId="32BE1A36" w14:textId="77777777" w:rsidR="00F22C3E" w:rsidRDefault="00F22C3E">
      <w:pPr>
        <w:pStyle w:val="BodyText"/>
      </w:pPr>
    </w:p>
    <w:p w14:paraId="420053B9" w14:textId="77777777" w:rsidR="00F22C3E" w:rsidRDefault="00F3225A">
      <w:pPr>
        <w:ind w:left="100"/>
        <w:rPr>
          <w:sz w:val="24"/>
        </w:rPr>
      </w:pPr>
      <w:r>
        <w:rPr>
          <w:i/>
          <w:sz w:val="24"/>
        </w:rPr>
        <w:t>Lugo-</w:t>
      </w:r>
      <w:proofErr w:type="spellStart"/>
      <w:r>
        <w:rPr>
          <w:i/>
          <w:sz w:val="24"/>
        </w:rPr>
        <w:t>Resendez</w:t>
      </w:r>
      <w:proofErr w:type="spellEnd"/>
      <w:r>
        <w:rPr>
          <w:i/>
          <w:sz w:val="24"/>
        </w:rPr>
        <w:t xml:space="preserve"> v. Lynch</w:t>
      </w:r>
      <w:r>
        <w:rPr>
          <w:sz w:val="24"/>
        </w:rPr>
        <w:t xml:space="preserve">, </w:t>
      </w:r>
      <w:r>
        <w:rPr>
          <w:color w:val="202020"/>
          <w:sz w:val="24"/>
        </w:rPr>
        <w:t xml:space="preserve">831 F.3d 337, 344 (5th Cir. 2016); </w:t>
      </w:r>
      <w:proofErr w:type="spellStart"/>
      <w:r>
        <w:rPr>
          <w:i/>
          <w:sz w:val="24"/>
        </w:rPr>
        <w:t>Mezo</w:t>
      </w:r>
      <w:proofErr w:type="spellEnd"/>
      <w:r>
        <w:rPr>
          <w:i/>
          <w:sz w:val="24"/>
        </w:rPr>
        <w:t xml:space="preserve"> v. Holder</w:t>
      </w:r>
      <w:r>
        <w:rPr>
          <w:sz w:val="24"/>
        </w:rPr>
        <w:t>, 615 F.3d 616, 620</w:t>
      </w:r>
    </w:p>
    <w:p w14:paraId="2198AC56" w14:textId="77777777" w:rsidR="00F22C3E" w:rsidRDefault="00F22C3E">
      <w:pPr>
        <w:pStyle w:val="BodyText"/>
      </w:pPr>
    </w:p>
    <w:p w14:paraId="791827B2" w14:textId="77777777" w:rsidR="00F22C3E" w:rsidRDefault="00F3225A">
      <w:pPr>
        <w:ind w:left="100"/>
        <w:rPr>
          <w:i/>
          <w:sz w:val="24"/>
        </w:rPr>
      </w:pPr>
      <w:r>
        <w:rPr>
          <w:sz w:val="24"/>
        </w:rPr>
        <w:t xml:space="preserve">(6th Cir. 2010); </w:t>
      </w:r>
      <w:r>
        <w:rPr>
          <w:i/>
          <w:sz w:val="24"/>
        </w:rPr>
        <w:t>Pervaiz v. Gonzales</w:t>
      </w:r>
      <w:r>
        <w:rPr>
          <w:sz w:val="24"/>
        </w:rPr>
        <w:t xml:space="preserve">, 405 F.3d 488, 489 (7th Cir. 2005); </w:t>
      </w:r>
      <w:r>
        <w:rPr>
          <w:i/>
          <w:sz w:val="24"/>
        </w:rPr>
        <w:t>Ortega-Marroquin v.</w:t>
      </w:r>
    </w:p>
    <w:p w14:paraId="2EB7CA4E" w14:textId="77777777" w:rsidR="00F22C3E" w:rsidRDefault="00F22C3E">
      <w:pPr>
        <w:pStyle w:val="BodyText"/>
        <w:rPr>
          <w:i/>
        </w:rPr>
      </w:pPr>
    </w:p>
    <w:p w14:paraId="5BD8E8E0" w14:textId="77777777" w:rsidR="00F22C3E" w:rsidRDefault="00F3225A">
      <w:pPr>
        <w:spacing w:before="1"/>
        <w:ind w:left="100"/>
        <w:rPr>
          <w:sz w:val="24"/>
        </w:rPr>
      </w:pPr>
      <w:r>
        <w:rPr>
          <w:i/>
          <w:sz w:val="24"/>
        </w:rPr>
        <w:t>Holder</w:t>
      </w:r>
      <w:r>
        <w:rPr>
          <w:sz w:val="24"/>
        </w:rPr>
        <w:t xml:space="preserve">, 640 F.3d 814, 819-20 (8th Cir. 2011); </w:t>
      </w:r>
      <w:proofErr w:type="spellStart"/>
      <w:r>
        <w:rPr>
          <w:i/>
          <w:sz w:val="24"/>
        </w:rPr>
        <w:t>Socop</w:t>
      </w:r>
      <w:proofErr w:type="spellEnd"/>
      <w:r>
        <w:rPr>
          <w:i/>
          <w:sz w:val="24"/>
        </w:rPr>
        <w:t>-Gonzalez v. INS</w:t>
      </w:r>
      <w:r>
        <w:rPr>
          <w:sz w:val="24"/>
        </w:rPr>
        <w:t>, 272 F.3d 1176, 1184-85</w:t>
      </w:r>
    </w:p>
    <w:p w14:paraId="2B6AD1B6" w14:textId="77777777" w:rsidR="00F22C3E" w:rsidRDefault="00F22C3E">
      <w:pPr>
        <w:pStyle w:val="BodyText"/>
        <w:spacing w:before="11"/>
        <w:rPr>
          <w:sz w:val="23"/>
        </w:rPr>
      </w:pPr>
    </w:p>
    <w:p w14:paraId="3BFC0204" w14:textId="77777777" w:rsidR="00F22C3E" w:rsidRDefault="00F3225A">
      <w:pPr>
        <w:ind w:left="100"/>
        <w:rPr>
          <w:sz w:val="24"/>
        </w:rPr>
      </w:pPr>
      <w:r>
        <w:rPr>
          <w:sz w:val="24"/>
        </w:rPr>
        <w:t xml:space="preserve">(9th Cir. 2001); </w:t>
      </w:r>
      <w:r>
        <w:rPr>
          <w:i/>
          <w:sz w:val="24"/>
        </w:rPr>
        <w:t>Riley v. INS</w:t>
      </w:r>
      <w:r>
        <w:rPr>
          <w:sz w:val="24"/>
        </w:rPr>
        <w:t xml:space="preserve">, 310 F.3d 1253, 1258 (10th Cir. 2002); </w:t>
      </w:r>
      <w:r>
        <w:rPr>
          <w:i/>
          <w:sz w:val="24"/>
        </w:rPr>
        <w:t>Avila-Santoyo v. AG</w:t>
      </w:r>
      <w:r>
        <w:rPr>
          <w:sz w:val="24"/>
        </w:rPr>
        <w:t>, 713</w:t>
      </w:r>
    </w:p>
    <w:p w14:paraId="4DE6378F" w14:textId="77777777" w:rsidR="00F22C3E" w:rsidRDefault="00F22C3E">
      <w:pPr>
        <w:pStyle w:val="BodyText"/>
      </w:pPr>
    </w:p>
    <w:p w14:paraId="13EE3634" w14:textId="77777777" w:rsidR="00F22C3E" w:rsidRDefault="00F3225A">
      <w:pPr>
        <w:pStyle w:val="BodyText"/>
        <w:spacing w:line="480" w:lineRule="auto"/>
        <w:ind w:left="100" w:right="427"/>
      </w:pPr>
      <w:r>
        <w:t>F.3d 1357, 1363 n.5 (11th Cir. 2013) (</w:t>
      </w:r>
      <w:proofErr w:type="spellStart"/>
      <w:r>
        <w:t>en</w:t>
      </w:r>
      <w:proofErr w:type="spellEnd"/>
      <w:r>
        <w:t xml:space="preserve"> banc); </w:t>
      </w:r>
      <w:r>
        <w:rPr>
          <w:i/>
        </w:rPr>
        <w:t>cf</w:t>
      </w:r>
      <w:r>
        <w:t xml:space="preserve">. </w:t>
      </w:r>
      <w:proofErr w:type="spellStart"/>
      <w:r>
        <w:rPr>
          <w:i/>
        </w:rPr>
        <w:t>Bolieiro</w:t>
      </w:r>
      <w:proofErr w:type="spellEnd"/>
      <w:r>
        <w:rPr>
          <w:i/>
        </w:rPr>
        <w:t xml:space="preserve"> v. Holder</w:t>
      </w:r>
      <w:r>
        <w:t>, 731 F.3d 32, 39 n.7 (1st Cir. 2013) (“Notably, every circuit that has addressed the issue thus far has held that equitable</w:t>
      </w:r>
    </w:p>
    <w:p w14:paraId="4BB6A1D8" w14:textId="77777777" w:rsidR="00F22C3E" w:rsidRDefault="00F3225A">
      <w:pPr>
        <w:pStyle w:val="BodyText"/>
        <w:spacing w:before="76" w:line="480" w:lineRule="auto"/>
        <w:ind w:left="100" w:right="202"/>
      </w:pPr>
      <w:r>
        <w:t>tolling applies to . . . limits to filing motions to reopen.”). [</w:t>
      </w:r>
      <w:r>
        <w:rPr>
          <w:color w:val="FF0000"/>
        </w:rPr>
        <w:t>If applicable</w:t>
      </w:r>
      <w:r>
        <w:t xml:space="preserve">] Similarly, federal courts recognize that the numeric limit on motions is subject to tolling. </w:t>
      </w:r>
      <w:r>
        <w:rPr>
          <w:i/>
        </w:rPr>
        <w:t xml:space="preserve">See </w:t>
      </w:r>
      <w:proofErr w:type="spellStart"/>
      <w:r>
        <w:rPr>
          <w:i/>
        </w:rPr>
        <w:t>Jin</w:t>
      </w:r>
      <w:proofErr w:type="spellEnd"/>
      <w:r>
        <w:rPr>
          <w:i/>
        </w:rPr>
        <w:t xml:space="preserve"> Bo Zhao v. INS</w:t>
      </w:r>
      <w:r>
        <w:t xml:space="preserve">, 452 F.3d 154 (2d Cir. 2006); </w:t>
      </w:r>
      <w:r>
        <w:rPr>
          <w:i/>
        </w:rPr>
        <w:t>Rodriguez-</w:t>
      </w:r>
      <w:proofErr w:type="spellStart"/>
      <w:r>
        <w:rPr>
          <w:i/>
        </w:rPr>
        <w:t>Lariz</w:t>
      </w:r>
      <w:proofErr w:type="spellEnd"/>
      <w:r>
        <w:rPr>
          <w:i/>
        </w:rPr>
        <w:t xml:space="preserve"> v. INS</w:t>
      </w:r>
      <w:r>
        <w:t xml:space="preserve">, 282 F.3d 1218 (9th Cir. 2002) Thus, the time </w:t>
      </w:r>
      <w:r>
        <w:rPr>
          <w:color w:val="FF0000"/>
        </w:rPr>
        <w:t xml:space="preserve">and numeric </w:t>
      </w:r>
      <w:r>
        <w:t>limitations on motions to reconsider at issue in this case are subject to equitable tolling.</w:t>
      </w:r>
    </w:p>
    <w:p w14:paraId="386BB77B" w14:textId="77777777" w:rsidR="00F22C3E" w:rsidRDefault="00F3225A">
      <w:pPr>
        <w:pStyle w:val="Heading1"/>
        <w:numPr>
          <w:ilvl w:val="1"/>
          <w:numId w:val="2"/>
        </w:numPr>
        <w:tabs>
          <w:tab w:val="left" w:pos="1540"/>
          <w:tab w:val="left" w:pos="1541"/>
        </w:tabs>
        <w:spacing w:before="3"/>
        <w:ind w:right="824"/>
      </w:pPr>
      <w:r>
        <w:t xml:space="preserve">Respondent Is Diligently Pursuing </w:t>
      </w:r>
      <w:r>
        <w:rPr>
          <w:color w:val="FF0000"/>
        </w:rPr>
        <w:t xml:space="preserve">[Her/His] </w:t>
      </w:r>
      <w:r>
        <w:t>Rights and Extraordinary Circumstances Prevented Timely Filing of this</w:t>
      </w:r>
      <w:r>
        <w:rPr>
          <w:spacing w:val="-3"/>
        </w:rPr>
        <w:t xml:space="preserve"> </w:t>
      </w:r>
      <w:r>
        <w:t>Motion.</w:t>
      </w:r>
    </w:p>
    <w:p w14:paraId="176AC5A0" w14:textId="77777777" w:rsidR="00F22C3E" w:rsidRDefault="00F22C3E">
      <w:pPr>
        <w:pStyle w:val="BodyText"/>
        <w:spacing w:before="9"/>
        <w:rPr>
          <w:b/>
          <w:sz w:val="23"/>
        </w:rPr>
      </w:pPr>
    </w:p>
    <w:p w14:paraId="762C39BA" w14:textId="60BBA5B2" w:rsidR="00F22C3E" w:rsidRDefault="00F3225A">
      <w:pPr>
        <w:pStyle w:val="BodyText"/>
        <w:spacing w:before="1" w:line="480" w:lineRule="auto"/>
        <w:ind w:left="100" w:right="562" w:firstLine="720"/>
      </w:pPr>
      <w:r>
        <w:t xml:space="preserve">The Supreme Court’s decision in </w:t>
      </w:r>
      <w:r w:rsidR="009D5979">
        <w:rPr>
          <w:i/>
        </w:rPr>
        <w:t xml:space="preserve">Pereira </w:t>
      </w:r>
      <w:r>
        <w:t xml:space="preserve">constituted an extraordinary circumstance that prevented Respondent from timely </w:t>
      </w:r>
      <w:proofErr w:type="gramStart"/>
      <w:r>
        <w:t>filing</w:t>
      </w:r>
      <w:proofErr w:type="gramEnd"/>
      <w:r>
        <w:t xml:space="preserve"> a motion to reconsider and </w:t>
      </w:r>
      <w:r>
        <w:rPr>
          <w:color w:val="FF0000"/>
        </w:rPr>
        <w:t xml:space="preserve">he/she </w:t>
      </w:r>
      <w:r>
        <w:t xml:space="preserve">pursued </w:t>
      </w:r>
      <w:r>
        <w:rPr>
          <w:color w:val="FF0000"/>
        </w:rPr>
        <w:t xml:space="preserve">his/her </w:t>
      </w:r>
      <w:r>
        <w:t>case with reasonable diligence. Equitable tolling of the motion to reconsider deadline is warranted in this case.</w:t>
      </w:r>
    </w:p>
    <w:p w14:paraId="19AF9407" w14:textId="48EFE046" w:rsidR="000C617D" w:rsidRDefault="00F3225A" w:rsidP="000C617D">
      <w:pPr>
        <w:pStyle w:val="BodyText"/>
        <w:spacing w:line="480" w:lineRule="auto"/>
        <w:ind w:left="100" w:right="755" w:firstLine="720"/>
      </w:pPr>
      <w:r>
        <w:t xml:space="preserve">The Supreme Court’s decision in </w:t>
      </w:r>
      <w:r w:rsidR="0079498D">
        <w:rPr>
          <w:i/>
        </w:rPr>
        <w:t xml:space="preserve">Pereira </w:t>
      </w:r>
      <w:r w:rsidR="000C617D">
        <w:t>abrogates</w:t>
      </w:r>
      <w:r>
        <w:t xml:space="preserve"> the Board’s erroneous </w:t>
      </w:r>
      <w:r w:rsidR="000C617D">
        <w:t>finding that</w:t>
      </w:r>
      <w:r w:rsidR="0079498D">
        <w:t xml:space="preserve"> the putative notice to appear issued in </w:t>
      </w:r>
      <w:r w:rsidR="0079498D">
        <w:rPr>
          <w:color w:val="FF0000"/>
        </w:rPr>
        <w:t>his</w:t>
      </w:r>
      <w:r w:rsidR="000C617D">
        <w:rPr>
          <w:color w:val="FF0000"/>
        </w:rPr>
        <w:t xml:space="preserve">/her </w:t>
      </w:r>
      <w:r w:rsidR="0079498D" w:rsidRPr="00D94F7B">
        <w:rPr>
          <w:color w:val="000000" w:themeColor="text1"/>
        </w:rPr>
        <w:t>case</w:t>
      </w:r>
      <w:r w:rsidR="0079498D">
        <w:t xml:space="preserve"> </w:t>
      </w:r>
      <w:r w:rsidR="007C3ECA">
        <w:t>vested the immigration court with jurisdiction over the Respondent’s case</w:t>
      </w:r>
      <w:r w:rsidR="000C617D">
        <w:t xml:space="preserve">. This extraordinary circumstance prevented Respondent from timely filing </w:t>
      </w:r>
      <w:r w:rsidR="000C617D">
        <w:rPr>
          <w:color w:val="FF0000"/>
        </w:rPr>
        <w:t xml:space="preserve">his/her </w:t>
      </w:r>
      <w:r w:rsidR="000C617D">
        <w:t>motion to reconsider.</w:t>
      </w:r>
    </w:p>
    <w:p w14:paraId="7FCE82F7" w14:textId="68E83B75" w:rsidR="00F22C3E" w:rsidRDefault="001D4247">
      <w:pPr>
        <w:pStyle w:val="BodyText"/>
        <w:spacing w:line="480" w:lineRule="auto"/>
        <w:ind w:left="100" w:firstLine="720"/>
      </w:pPr>
      <w:r>
        <w:rPr>
          <w:i/>
        </w:rPr>
        <w:t xml:space="preserve">Pereira </w:t>
      </w:r>
      <w:r w:rsidR="00F3225A">
        <w:t xml:space="preserve">was decided on </w:t>
      </w:r>
      <w:r>
        <w:t>June 21</w:t>
      </w:r>
      <w:r w:rsidR="000C617D">
        <w:t>, 2018</w:t>
      </w:r>
      <w:r w:rsidR="00F3225A">
        <w:t xml:space="preserve">. Respondent has exhibited the requisite diligence both before and after learning of the decision. </w:t>
      </w:r>
      <w:r w:rsidR="00F3225A">
        <w:rPr>
          <w:color w:val="FF0000"/>
        </w:rPr>
        <w:t xml:space="preserve">She/he </w:t>
      </w:r>
      <w:r w:rsidR="00F3225A">
        <w:t>first learned of the decision on</w:t>
      </w:r>
    </w:p>
    <w:p w14:paraId="49B87A92" w14:textId="105A52ED" w:rsidR="00F22C3E" w:rsidRDefault="00F3225A" w:rsidP="00D94F7B">
      <w:pPr>
        <w:pStyle w:val="BodyText"/>
        <w:tabs>
          <w:tab w:val="left" w:pos="1474"/>
          <w:tab w:val="left" w:pos="3587"/>
          <w:tab w:val="left" w:pos="3619"/>
          <w:tab w:val="left" w:pos="3919"/>
        </w:tabs>
        <w:spacing w:line="480" w:lineRule="auto"/>
        <w:ind w:left="100" w:right="37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when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tab/>
      </w:r>
      <w:r>
        <w:rPr>
          <w:i/>
        </w:rPr>
        <w:t xml:space="preserve">See </w:t>
      </w:r>
      <w:r>
        <w:rPr>
          <w:color w:val="FF0000"/>
        </w:rPr>
        <w:t xml:space="preserve">Declaration of Respondent. She/he </w:t>
      </w:r>
      <w:r>
        <w:t>is filing the instant motion to</w:t>
      </w:r>
      <w:r>
        <w:rPr>
          <w:spacing w:val="-3"/>
        </w:rPr>
        <w:t xml:space="preserve"> </w:t>
      </w:r>
      <w:r>
        <w:t>reopen</w:t>
      </w:r>
      <w:r>
        <w:rPr>
          <w:spacing w:val="-1"/>
        </w:rPr>
        <w:t xml:space="preserve"> </w:t>
      </w:r>
      <w:r>
        <w:t>within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days of discovering that </w:t>
      </w:r>
      <w:r>
        <w:rPr>
          <w:color w:val="FF0000"/>
        </w:rPr>
        <w:t xml:space="preserve">[she/he] </w:t>
      </w:r>
      <w:r>
        <w:t xml:space="preserve">is </w:t>
      </w:r>
      <w:r w:rsidR="001D4247">
        <w:t>eligible for cancellation of removal</w:t>
      </w:r>
      <w:r>
        <w:t xml:space="preserve"> </w:t>
      </w:r>
      <w:r>
        <w:rPr>
          <w:color w:val="FF0000"/>
        </w:rPr>
        <w:t xml:space="preserve">[insert if true] </w:t>
      </w:r>
      <w:r>
        <w:t>and within 30 days of the Supreme Court decision. As set forth in</w:t>
      </w:r>
      <w:r>
        <w:rPr>
          <w:spacing w:val="-7"/>
        </w:rPr>
        <w:t xml:space="preserve"> </w:t>
      </w:r>
      <w:r>
        <w:t>Respondent’s</w:t>
      </w:r>
      <w:r w:rsidR="00385A95">
        <w:t xml:space="preserve"> </w:t>
      </w:r>
      <w:r>
        <w:t>accompanying declaration, Respondent attempted to challenge the Immigration Judge’s decisio</w:t>
      </w:r>
      <w:r w:rsidR="00385A95">
        <w:t xml:space="preserve">n </w:t>
      </w:r>
      <w:r>
        <w:t xml:space="preserve">by appealing the decision to this Board, </w:t>
      </w:r>
      <w:r>
        <w:rPr>
          <w:color w:val="FF0000"/>
        </w:rPr>
        <w:t xml:space="preserve">[if applicable] </w:t>
      </w:r>
      <w:r>
        <w:t>and later via Petition for Review to the</w:t>
      </w:r>
      <w:r w:rsidR="00385A95">
        <w:t xml:space="preserve"> </w:t>
      </w:r>
      <w:r>
        <w:t>U.S. Court of Appeals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Circuit. </w:t>
      </w:r>
      <w:r>
        <w:rPr>
          <w:color w:val="FF0000"/>
        </w:rPr>
        <w:t xml:space="preserve">[If Respondent did not seek circuit review, explain the reason why and support claims with corroborating evidence if possible; If Respondent sought review, explained what happened]. [Include any other steps Respondent took to pursue case prior to the </w:t>
      </w:r>
      <w:r w:rsidR="00F319E8">
        <w:rPr>
          <w:i/>
          <w:color w:val="FF0000"/>
        </w:rPr>
        <w:t xml:space="preserve">Pereira </w:t>
      </w:r>
      <w:r>
        <w:rPr>
          <w:color w:val="FF0000"/>
        </w:rPr>
        <w:t xml:space="preserve">decision including contacting attorneys.] </w:t>
      </w:r>
      <w:r>
        <w:t xml:space="preserve">Respondent is filing this motion as soon as practicable after finding out about the decision and has displayed reasonable diligence in pursuing </w:t>
      </w:r>
      <w:r>
        <w:rPr>
          <w:color w:val="FF0000"/>
        </w:rPr>
        <w:t>his/her</w:t>
      </w:r>
      <w:r>
        <w:rPr>
          <w:color w:val="FF0000"/>
          <w:spacing w:val="-1"/>
        </w:rPr>
        <w:t xml:space="preserve"> </w:t>
      </w:r>
      <w:r>
        <w:t>rights.</w:t>
      </w:r>
    </w:p>
    <w:p w14:paraId="454317E4" w14:textId="77777777" w:rsidR="00F22C3E" w:rsidRDefault="00F3225A">
      <w:pPr>
        <w:pStyle w:val="Heading1"/>
        <w:numPr>
          <w:ilvl w:val="0"/>
          <w:numId w:val="2"/>
        </w:numPr>
        <w:tabs>
          <w:tab w:val="left" w:pos="820"/>
          <w:tab w:val="left" w:pos="821"/>
          <w:tab w:val="left" w:pos="1429"/>
          <w:tab w:val="left" w:pos="2280"/>
          <w:tab w:val="left" w:pos="4443"/>
          <w:tab w:val="left" w:pos="5292"/>
          <w:tab w:val="left" w:pos="6501"/>
          <w:tab w:val="left" w:pos="7858"/>
        </w:tabs>
        <w:spacing w:before="6" w:line="237" w:lineRule="auto"/>
        <w:ind w:right="180" w:hanging="720"/>
        <w:rPr>
          <w:b w:val="0"/>
        </w:rPr>
      </w:pPr>
      <w:r>
        <w:t>IN</w:t>
      </w:r>
      <w:r>
        <w:tab/>
        <w:t>THE</w:t>
      </w:r>
      <w:r>
        <w:tab/>
        <w:t>ALTERNATIVE,</w:t>
      </w:r>
      <w:r>
        <w:tab/>
        <w:t>THE</w:t>
      </w:r>
      <w:r>
        <w:tab/>
        <w:t>BOARD</w:t>
      </w:r>
      <w:r>
        <w:tab/>
        <w:t>SHOULD</w:t>
      </w:r>
      <w:r>
        <w:tab/>
        <w:t>RECONSIDER</w:t>
      </w:r>
      <w:r>
        <w:rPr>
          <w:w w:val="99"/>
        </w:rPr>
        <w:t xml:space="preserve"> </w:t>
      </w:r>
      <w:r>
        <w:t>RESPONDENT’S REMOVAL ORDER SUA</w:t>
      </w:r>
      <w:r>
        <w:rPr>
          <w:spacing w:val="-3"/>
        </w:rPr>
        <w:t xml:space="preserve"> </w:t>
      </w:r>
      <w:r>
        <w:t>SPONTE</w:t>
      </w:r>
      <w:r>
        <w:rPr>
          <w:b w:val="0"/>
        </w:rPr>
        <w:t>.</w:t>
      </w:r>
    </w:p>
    <w:p w14:paraId="39F87266" w14:textId="77777777" w:rsidR="00F22C3E" w:rsidRDefault="00F22C3E">
      <w:pPr>
        <w:pStyle w:val="BodyText"/>
        <w:spacing w:before="1"/>
      </w:pPr>
    </w:p>
    <w:p w14:paraId="0B499477" w14:textId="599DFB0B" w:rsidR="00F22C3E" w:rsidRDefault="00F3225A">
      <w:pPr>
        <w:pStyle w:val="BodyText"/>
        <w:spacing w:line="480" w:lineRule="auto"/>
        <w:ind w:left="100" w:right="176" w:firstLine="720"/>
        <w:jc w:val="both"/>
      </w:pPr>
      <w:r>
        <w:t xml:space="preserve">An immigration judge or the Board may reopen or reconsider a case on its own motion at any time. </w:t>
      </w:r>
      <w:r>
        <w:rPr>
          <w:i/>
        </w:rPr>
        <w:t xml:space="preserve">See </w:t>
      </w:r>
      <w:r>
        <w:t xml:space="preserve">8 C.F.R. §§ 1003.23(b)(1); 1003.2(a). The Board invokes its authority to reopen or reconsider a case following fundamental changes in law. </w:t>
      </w:r>
      <w:r>
        <w:rPr>
          <w:i/>
        </w:rPr>
        <w:t>See Matter of G-D-</w:t>
      </w:r>
      <w:r>
        <w:t xml:space="preserve">, 22 I&amp;N Dec. 1132, 1135 (BIA 1999). The Supreme Court’s decision in </w:t>
      </w:r>
      <w:r w:rsidR="00D87458">
        <w:rPr>
          <w:i/>
        </w:rPr>
        <w:t xml:space="preserve">Pereira </w:t>
      </w:r>
      <w:r>
        <w:t xml:space="preserve">amounts to a fundamental change in law warranting </w:t>
      </w:r>
      <w:proofErr w:type="spellStart"/>
      <w:r>
        <w:t>sua</w:t>
      </w:r>
      <w:proofErr w:type="spellEnd"/>
      <w:r>
        <w:t xml:space="preserve"> sponte reopening or reconsideration. </w:t>
      </w:r>
      <w:r>
        <w:rPr>
          <w:i/>
        </w:rPr>
        <w:t xml:space="preserve">See supra </w:t>
      </w:r>
      <w:r>
        <w:t>Section IV.A. Reconsideration is especially warranted in this case because [</w:t>
      </w:r>
      <w:r>
        <w:rPr>
          <w:color w:val="FF0000"/>
        </w:rPr>
        <w:t>include other equitable factors</w:t>
      </w:r>
      <w:r>
        <w:t xml:space="preserve">]. </w:t>
      </w:r>
      <w:r>
        <w:rPr>
          <w:i/>
        </w:rPr>
        <w:t xml:space="preserve">See </w:t>
      </w:r>
      <w:r>
        <w:rPr>
          <w:color w:val="FF0000"/>
        </w:rPr>
        <w:t>Respondent’s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Declaration</w:t>
      </w:r>
      <w:r>
        <w:t>.</w:t>
      </w:r>
    </w:p>
    <w:p w14:paraId="20D151CE" w14:textId="77777777" w:rsidR="00F22C3E" w:rsidRDefault="00F3225A">
      <w:pPr>
        <w:pStyle w:val="Heading1"/>
        <w:numPr>
          <w:ilvl w:val="0"/>
          <w:numId w:val="4"/>
        </w:numPr>
        <w:tabs>
          <w:tab w:val="left" w:pos="4326"/>
          <w:tab w:val="left" w:pos="4327"/>
        </w:tabs>
        <w:spacing w:before="2"/>
        <w:ind w:left="4326"/>
        <w:jc w:val="left"/>
      </w:pPr>
      <w:r>
        <w:rPr>
          <w:u w:val="thick"/>
        </w:rPr>
        <w:t>CONCLUSION</w:t>
      </w:r>
    </w:p>
    <w:p w14:paraId="193C04A2" w14:textId="77777777" w:rsidR="00F22C3E" w:rsidRDefault="00F22C3E">
      <w:pPr>
        <w:pStyle w:val="BodyText"/>
        <w:spacing w:before="11"/>
        <w:rPr>
          <w:b/>
          <w:sz w:val="15"/>
        </w:rPr>
      </w:pPr>
    </w:p>
    <w:p w14:paraId="2E8A888E" w14:textId="5DBD75B8" w:rsidR="00F22C3E" w:rsidRDefault="00F3225A">
      <w:pPr>
        <w:pStyle w:val="BodyText"/>
        <w:spacing w:before="90" w:line="480" w:lineRule="auto"/>
        <w:ind w:left="100" w:right="1002" w:firstLine="720"/>
      </w:pPr>
      <w:r>
        <w:t xml:space="preserve">The Board should reconsider its prior decision in this case </w:t>
      </w:r>
      <w:proofErr w:type="gramStart"/>
      <w:r>
        <w:t xml:space="preserve">and </w:t>
      </w:r>
      <w:r w:rsidR="006F07C4">
        <w:t xml:space="preserve"> terminate</w:t>
      </w:r>
      <w:proofErr w:type="gramEnd"/>
      <w:r w:rsidR="009D09CE">
        <w:t xml:space="preserve"> </w:t>
      </w:r>
      <w:r>
        <w:t>removal proceedings</w:t>
      </w:r>
      <w:r w:rsidR="006F07C4">
        <w:t xml:space="preserve"> against the Respondent</w:t>
      </w:r>
      <w:r>
        <w:t>.</w:t>
      </w:r>
    </w:p>
    <w:p w14:paraId="13A570ED" w14:textId="77777777" w:rsidR="00F22C3E" w:rsidRDefault="00F22C3E">
      <w:pPr>
        <w:pStyle w:val="BodyText"/>
        <w:rPr>
          <w:sz w:val="20"/>
        </w:rPr>
      </w:pPr>
    </w:p>
    <w:p w14:paraId="4CE9F68F" w14:textId="77777777" w:rsidR="00F22C3E" w:rsidRDefault="00F22C3E">
      <w:pPr>
        <w:pStyle w:val="BodyText"/>
        <w:spacing w:before="2"/>
        <w:rPr>
          <w:sz w:val="20"/>
        </w:rPr>
      </w:pPr>
    </w:p>
    <w:p w14:paraId="46A4AA35" w14:textId="77777777" w:rsidR="00F22C3E" w:rsidRDefault="00F3225A">
      <w:pPr>
        <w:pStyle w:val="BodyText"/>
        <w:tabs>
          <w:tab w:val="left" w:pos="2294"/>
          <w:tab w:val="left" w:pos="3700"/>
        </w:tabs>
        <w:spacing w:before="90"/>
        <w:ind w:left="100"/>
      </w:pPr>
      <w:r>
        <w:t>Dated: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Respectfully</w:t>
      </w:r>
      <w:r>
        <w:rPr>
          <w:spacing w:val="-2"/>
        </w:rPr>
        <w:t xml:space="preserve"> </w:t>
      </w:r>
      <w:r>
        <w:t>submitted,</w:t>
      </w:r>
    </w:p>
    <w:p w14:paraId="3622A06D" w14:textId="77777777" w:rsidR="00F22C3E" w:rsidRDefault="00F22C3E">
      <w:pPr>
        <w:pStyle w:val="BodyText"/>
        <w:rPr>
          <w:sz w:val="20"/>
        </w:rPr>
      </w:pPr>
    </w:p>
    <w:p w14:paraId="69714206" w14:textId="77777777" w:rsidR="00F22C3E" w:rsidRDefault="00BF1C1D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5055A216" wp14:editId="0037F772">
                <wp:simplePos x="0" y="0"/>
                <wp:positionH relativeFrom="page">
                  <wp:posOffset>3200400</wp:posOffset>
                </wp:positionH>
                <wp:positionV relativeFrom="paragraph">
                  <wp:posOffset>201295</wp:posOffset>
                </wp:positionV>
                <wp:extent cx="15240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D2F6F" id="Line 2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pt,15.85pt" to="37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" strokeweight=".26669mm">
                <o:lock v:ext="edit" shapetype="f"/>
                <w10:wrap type="topAndBottom" anchorx="page"/>
              </v:line>
            </w:pict>
          </mc:Fallback>
        </mc:AlternateContent>
      </w:r>
    </w:p>
    <w:p w14:paraId="38FEC482" w14:textId="77777777" w:rsidR="00F22C3E" w:rsidRDefault="00F22C3E">
      <w:pPr>
        <w:pStyle w:val="BodyText"/>
        <w:rPr>
          <w:sz w:val="20"/>
        </w:rPr>
      </w:pPr>
    </w:p>
    <w:p w14:paraId="20C59163" w14:textId="77777777" w:rsidR="00F22C3E" w:rsidRDefault="00F22C3E">
      <w:pPr>
        <w:pStyle w:val="BodyText"/>
        <w:spacing w:before="4"/>
        <w:rPr>
          <w:sz w:val="17"/>
        </w:rPr>
      </w:pPr>
    </w:p>
    <w:p w14:paraId="5667347E" w14:textId="77777777" w:rsidR="00F22C3E" w:rsidRDefault="00F3225A">
      <w:pPr>
        <w:pStyle w:val="BodyText"/>
        <w:spacing w:before="90"/>
        <w:ind w:left="2574"/>
      </w:pPr>
      <w:r>
        <w:rPr>
          <w:color w:val="FF0000"/>
        </w:rPr>
        <w:t>[Attach proof of service on opposing counsel]</w:t>
      </w:r>
    </w:p>
    <w:sectPr w:rsidR="00F22C3E">
      <w:pgSz w:w="12240" w:h="15840"/>
      <w:pgMar w:top="1360" w:right="1260" w:bottom="1260" w:left="134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C5250" w14:textId="77777777" w:rsidR="000C2BFF" w:rsidRDefault="000C2BFF">
      <w:r>
        <w:separator/>
      </w:r>
    </w:p>
  </w:endnote>
  <w:endnote w:type="continuationSeparator" w:id="0">
    <w:p w14:paraId="11E5A034" w14:textId="77777777" w:rsidR="000C2BFF" w:rsidRDefault="000C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-BoldItalicM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AD91C" w14:textId="77777777" w:rsidR="00F22C3E" w:rsidRDefault="00BF1C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B27A42" wp14:editId="67092697">
              <wp:simplePos x="0" y="0"/>
              <wp:positionH relativeFrom="page">
                <wp:posOffset>3822700</wp:posOffset>
              </wp:positionH>
              <wp:positionV relativeFrom="page">
                <wp:posOffset>9243060</wp:posOffset>
              </wp:positionV>
              <wp:extent cx="127000" cy="19431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AA76C" w14:textId="1FA61F97" w:rsidR="00F22C3E" w:rsidRDefault="00F3225A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51A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27A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27.8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" filled="f" stroked="f">
              <v:path arrowok="t"/>
              <v:textbox inset="0,0,0,0">
                <w:txbxContent>
                  <w:p w14:paraId="013AA76C" w14:textId="1FA61F97" w:rsidR="00F22C3E" w:rsidRDefault="00F3225A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E51A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91A74" w14:textId="77777777" w:rsidR="000C2BFF" w:rsidRDefault="000C2BFF">
      <w:r>
        <w:separator/>
      </w:r>
    </w:p>
  </w:footnote>
  <w:footnote w:type="continuationSeparator" w:id="0">
    <w:p w14:paraId="7283098D" w14:textId="77777777" w:rsidR="000C2BFF" w:rsidRDefault="000C2BFF">
      <w:r>
        <w:continuationSeparator/>
      </w:r>
    </w:p>
  </w:footnote>
  <w:footnote w:id="1">
    <w:p w14:paraId="6B9CF8B2" w14:textId="211ECB12" w:rsidR="00E859AE" w:rsidRPr="00D94F7B" w:rsidRDefault="00E859AE">
      <w:pPr>
        <w:pStyle w:val="FootnoteText"/>
        <w:rPr>
          <w:sz w:val="24"/>
          <w:szCs w:val="24"/>
        </w:rPr>
      </w:pPr>
      <w:r w:rsidRPr="00D94F7B">
        <w:rPr>
          <w:rStyle w:val="FootnoteReference"/>
          <w:sz w:val="24"/>
          <w:szCs w:val="24"/>
        </w:rPr>
        <w:footnoteRef/>
      </w:r>
      <w:r w:rsidRPr="00D94F7B">
        <w:rPr>
          <w:sz w:val="24"/>
          <w:szCs w:val="24"/>
        </w:rPr>
        <w:t xml:space="preserve"> </w:t>
      </w:r>
      <w:r w:rsidRPr="00D94F7B">
        <w:rPr>
          <w:i/>
          <w:sz w:val="24"/>
          <w:szCs w:val="24"/>
        </w:rPr>
        <w:t xml:space="preserve">See also </w:t>
      </w:r>
      <w:r w:rsidRPr="00D94F7B">
        <w:rPr>
          <w:sz w:val="24"/>
          <w:szCs w:val="24"/>
        </w:rPr>
        <w:t>8 C.F.R. § 1003.1(d)(1)(ii) (“a panel or Board member to whom a case is assigned may take any action consistent with their authorities under the Act and the regulations as is appropriate and</w:t>
      </w:r>
      <w:r w:rsidRPr="00D94F7B">
        <w:rPr>
          <w:spacing w:val="-15"/>
          <w:sz w:val="24"/>
          <w:szCs w:val="24"/>
        </w:rPr>
        <w:t xml:space="preserve"> </w:t>
      </w:r>
      <w:r w:rsidRPr="00D94F7B">
        <w:rPr>
          <w:sz w:val="24"/>
          <w:szCs w:val="24"/>
        </w:rPr>
        <w:t>necessary for the disposition of the</w:t>
      </w:r>
      <w:r w:rsidRPr="00D94F7B">
        <w:rPr>
          <w:spacing w:val="-2"/>
          <w:sz w:val="24"/>
          <w:szCs w:val="24"/>
        </w:rPr>
        <w:t xml:space="preserve"> </w:t>
      </w:r>
      <w:r w:rsidRPr="00D94F7B">
        <w:rPr>
          <w:sz w:val="24"/>
          <w:szCs w:val="24"/>
        </w:rPr>
        <w:t>case.”).</w:t>
      </w:r>
    </w:p>
  </w:footnote>
  <w:footnote w:id="2">
    <w:p w14:paraId="74BFA8C8" w14:textId="6EF4CE39" w:rsidR="00290607" w:rsidRPr="00D94F7B" w:rsidRDefault="00290607">
      <w:pPr>
        <w:pStyle w:val="FootnoteText"/>
        <w:rPr>
          <w:sz w:val="24"/>
          <w:szCs w:val="24"/>
        </w:rPr>
      </w:pPr>
      <w:r w:rsidRPr="00D94F7B">
        <w:rPr>
          <w:rStyle w:val="FootnoteReference"/>
          <w:sz w:val="24"/>
          <w:szCs w:val="24"/>
        </w:rPr>
        <w:footnoteRef/>
      </w:r>
      <w:r w:rsidRPr="00D94F7B">
        <w:rPr>
          <w:sz w:val="24"/>
          <w:szCs w:val="24"/>
        </w:rPr>
        <w:t xml:space="preserve"> The other documents listed at 8 C.F.R. § 1003.23 are not at issue in the Respondent’s case.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177F"/>
    <w:multiLevelType w:val="hybridMultilevel"/>
    <w:tmpl w:val="53AC53BC"/>
    <w:lvl w:ilvl="0" w:tplc="D6BA1BB8">
      <w:start w:val="1"/>
      <w:numFmt w:val="upperLetter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C53C3EF0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 w:tplc="C834F548">
      <w:numFmt w:val="bullet"/>
      <w:lvlText w:val="•"/>
      <w:lvlJc w:val="left"/>
      <w:pPr>
        <w:ind w:left="2440" w:hanging="720"/>
      </w:pPr>
      <w:rPr>
        <w:rFonts w:hint="default"/>
      </w:rPr>
    </w:lvl>
    <w:lvl w:ilvl="3" w:tplc="5A084C9C">
      <w:numFmt w:val="bullet"/>
      <w:lvlText w:val="•"/>
      <w:lvlJc w:val="left"/>
      <w:pPr>
        <w:ind w:left="3340" w:hanging="720"/>
      </w:pPr>
      <w:rPr>
        <w:rFonts w:hint="default"/>
      </w:rPr>
    </w:lvl>
    <w:lvl w:ilvl="4" w:tplc="5A189E48">
      <w:numFmt w:val="bullet"/>
      <w:lvlText w:val="•"/>
      <w:lvlJc w:val="left"/>
      <w:pPr>
        <w:ind w:left="4240" w:hanging="720"/>
      </w:pPr>
      <w:rPr>
        <w:rFonts w:hint="default"/>
      </w:rPr>
    </w:lvl>
    <w:lvl w:ilvl="5" w:tplc="9766CF74">
      <w:numFmt w:val="bullet"/>
      <w:lvlText w:val="•"/>
      <w:lvlJc w:val="left"/>
      <w:pPr>
        <w:ind w:left="5140" w:hanging="720"/>
      </w:pPr>
      <w:rPr>
        <w:rFonts w:hint="default"/>
      </w:rPr>
    </w:lvl>
    <w:lvl w:ilvl="6" w:tplc="0B948EBC">
      <w:numFmt w:val="bullet"/>
      <w:lvlText w:val="•"/>
      <w:lvlJc w:val="left"/>
      <w:pPr>
        <w:ind w:left="6040" w:hanging="720"/>
      </w:pPr>
      <w:rPr>
        <w:rFonts w:hint="default"/>
      </w:rPr>
    </w:lvl>
    <w:lvl w:ilvl="7" w:tplc="52E446D0">
      <w:numFmt w:val="bullet"/>
      <w:lvlText w:val="•"/>
      <w:lvlJc w:val="left"/>
      <w:pPr>
        <w:ind w:left="6940" w:hanging="720"/>
      </w:pPr>
      <w:rPr>
        <w:rFonts w:hint="default"/>
      </w:rPr>
    </w:lvl>
    <w:lvl w:ilvl="8" w:tplc="020E2806">
      <w:numFmt w:val="bullet"/>
      <w:lvlText w:val="•"/>
      <w:lvlJc w:val="left"/>
      <w:pPr>
        <w:ind w:left="7840" w:hanging="720"/>
      </w:pPr>
      <w:rPr>
        <w:rFonts w:hint="default"/>
      </w:rPr>
    </w:lvl>
  </w:abstractNum>
  <w:abstractNum w:abstractNumId="1" w15:restartNumberingAfterBreak="0">
    <w:nsid w:val="080A0F0A"/>
    <w:multiLevelType w:val="hybridMultilevel"/>
    <w:tmpl w:val="6E0A0640"/>
    <w:lvl w:ilvl="0" w:tplc="1F58EFC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212121"/>
        <w:w w:val="76"/>
        <w:sz w:val="24"/>
        <w:szCs w:val="24"/>
      </w:rPr>
    </w:lvl>
    <w:lvl w:ilvl="1" w:tplc="40F66AF4">
      <w:numFmt w:val="bullet"/>
      <w:lvlText w:val="•"/>
      <w:lvlJc w:val="left"/>
      <w:pPr>
        <w:ind w:left="1702" w:hanging="361"/>
      </w:pPr>
      <w:rPr>
        <w:rFonts w:hint="default"/>
      </w:rPr>
    </w:lvl>
    <w:lvl w:ilvl="2" w:tplc="7E3AFF14">
      <w:numFmt w:val="bullet"/>
      <w:lvlText w:val="•"/>
      <w:lvlJc w:val="left"/>
      <w:pPr>
        <w:ind w:left="2584" w:hanging="361"/>
      </w:pPr>
      <w:rPr>
        <w:rFonts w:hint="default"/>
      </w:rPr>
    </w:lvl>
    <w:lvl w:ilvl="3" w:tplc="36D4DE62">
      <w:numFmt w:val="bullet"/>
      <w:lvlText w:val="•"/>
      <w:lvlJc w:val="left"/>
      <w:pPr>
        <w:ind w:left="3466" w:hanging="361"/>
      </w:pPr>
      <w:rPr>
        <w:rFonts w:hint="default"/>
      </w:rPr>
    </w:lvl>
    <w:lvl w:ilvl="4" w:tplc="F8A8C6E0">
      <w:numFmt w:val="bullet"/>
      <w:lvlText w:val="•"/>
      <w:lvlJc w:val="left"/>
      <w:pPr>
        <w:ind w:left="4348" w:hanging="361"/>
      </w:pPr>
      <w:rPr>
        <w:rFonts w:hint="default"/>
      </w:rPr>
    </w:lvl>
    <w:lvl w:ilvl="5" w:tplc="1980B9EC">
      <w:numFmt w:val="bullet"/>
      <w:lvlText w:val="•"/>
      <w:lvlJc w:val="left"/>
      <w:pPr>
        <w:ind w:left="5230" w:hanging="361"/>
      </w:pPr>
      <w:rPr>
        <w:rFonts w:hint="default"/>
      </w:rPr>
    </w:lvl>
    <w:lvl w:ilvl="6" w:tplc="023620DC">
      <w:numFmt w:val="bullet"/>
      <w:lvlText w:val="•"/>
      <w:lvlJc w:val="left"/>
      <w:pPr>
        <w:ind w:left="6112" w:hanging="361"/>
      </w:pPr>
      <w:rPr>
        <w:rFonts w:hint="default"/>
      </w:rPr>
    </w:lvl>
    <w:lvl w:ilvl="7" w:tplc="FB1AA832">
      <w:numFmt w:val="bullet"/>
      <w:lvlText w:val="•"/>
      <w:lvlJc w:val="left"/>
      <w:pPr>
        <w:ind w:left="6994" w:hanging="361"/>
      </w:pPr>
      <w:rPr>
        <w:rFonts w:hint="default"/>
      </w:rPr>
    </w:lvl>
    <w:lvl w:ilvl="8" w:tplc="33CC6A80">
      <w:numFmt w:val="bullet"/>
      <w:lvlText w:val="•"/>
      <w:lvlJc w:val="left"/>
      <w:pPr>
        <w:ind w:left="7876" w:hanging="361"/>
      </w:pPr>
      <w:rPr>
        <w:rFonts w:hint="default"/>
      </w:rPr>
    </w:lvl>
  </w:abstractNum>
  <w:abstractNum w:abstractNumId="2" w15:restartNumberingAfterBreak="0">
    <w:nsid w:val="462A7FC0"/>
    <w:multiLevelType w:val="hybridMultilevel"/>
    <w:tmpl w:val="723A8498"/>
    <w:lvl w:ilvl="0" w:tplc="39F839D2">
      <w:numFmt w:val="bullet"/>
      <w:lvlText w:val=""/>
      <w:lvlJc w:val="left"/>
      <w:pPr>
        <w:ind w:left="100" w:hanging="149"/>
      </w:pPr>
      <w:rPr>
        <w:rFonts w:ascii="Symbol" w:eastAsia="Symbol" w:hAnsi="Symbol" w:cs="Symbol" w:hint="default"/>
        <w:w w:val="83"/>
        <w:position w:val="10"/>
        <w:sz w:val="14"/>
        <w:szCs w:val="14"/>
      </w:rPr>
    </w:lvl>
    <w:lvl w:ilvl="1" w:tplc="80CEF3AE">
      <w:start w:val="1"/>
      <w:numFmt w:val="upperRoman"/>
      <w:lvlText w:val="%2.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022CA740">
      <w:start w:val="1"/>
      <w:numFmt w:val="upperLetter"/>
      <w:lvlText w:val="%3.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 w:tplc="E25691F4">
      <w:start w:val="1"/>
      <w:numFmt w:val="decimal"/>
      <w:lvlText w:val="%4."/>
      <w:lvlJc w:val="left"/>
      <w:pPr>
        <w:ind w:left="226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4" w:tplc="D79C0CF4">
      <w:numFmt w:val="bullet"/>
      <w:lvlText w:val="•"/>
      <w:lvlJc w:val="left"/>
      <w:pPr>
        <w:ind w:left="3314" w:hanging="360"/>
      </w:pPr>
      <w:rPr>
        <w:rFonts w:hint="default"/>
      </w:rPr>
    </w:lvl>
    <w:lvl w:ilvl="5" w:tplc="55A61DEA">
      <w:numFmt w:val="bullet"/>
      <w:lvlText w:val="•"/>
      <w:lvlJc w:val="left"/>
      <w:pPr>
        <w:ind w:left="4368" w:hanging="360"/>
      </w:pPr>
      <w:rPr>
        <w:rFonts w:hint="default"/>
      </w:rPr>
    </w:lvl>
    <w:lvl w:ilvl="6" w:tplc="DC764644">
      <w:numFmt w:val="bullet"/>
      <w:lvlText w:val="•"/>
      <w:lvlJc w:val="left"/>
      <w:pPr>
        <w:ind w:left="5422" w:hanging="360"/>
      </w:pPr>
      <w:rPr>
        <w:rFonts w:hint="default"/>
      </w:rPr>
    </w:lvl>
    <w:lvl w:ilvl="7" w:tplc="1BD0476E">
      <w:numFmt w:val="bullet"/>
      <w:lvlText w:val="•"/>
      <w:lvlJc w:val="left"/>
      <w:pPr>
        <w:ind w:left="6477" w:hanging="360"/>
      </w:pPr>
      <w:rPr>
        <w:rFonts w:hint="default"/>
      </w:rPr>
    </w:lvl>
    <w:lvl w:ilvl="8" w:tplc="CC0457D4">
      <w:numFmt w:val="bullet"/>
      <w:lvlText w:val="•"/>
      <w:lvlJc w:val="left"/>
      <w:pPr>
        <w:ind w:left="7531" w:hanging="360"/>
      </w:pPr>
      <w:rPr>
        <w:rFonts w:hint="default"/>
      </w:rPr>
    </w:lvl>
  </w:abstractNum>
  <w:abstractNum w:abstractNumId="3" w15:restartNumberingAfterBreak="0">
    <w:nsid w:val="64236404"/>
    <w:multiLevelType w:val="hybridMultilevel"/>
    <w:tmpl w:val="7BBE8B4C"/>
    <w:lvl w:ilvl="0" w:tplc="4C64F46C">
      <w:start w:val="1"/>
      <w:numFmt w:val="upperRoman"/>
      <w:lvlText w:val="%1."/>
      <w:lvlJc w:val="left"/>
      <w:pPr>
        <w:ind w:left="41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89C490A8">
      <w:numFmt w:val="bullet"/>
      <w:lvlText w:val="•"/>
      <w:lvlJc w:val="left"/>
      <w:pPr>
        <w:ind w:left="4726" w:hanging="720"/>
      </w:pPr>
      <w:rPr>
        <w:rFonts w:hint="default"/>
      </w:rPr>
    </w:lvl>
    <w:lvl w:ilvl="2" w:tplc="F68AA992">
      <w:numFmt w:val="bullet"/>
      <w:lvlText w:val="•"/>
      <w:lvlJc w:val="left"/>
      <w:pPr>
        <w:ind w:left="5272" w:hanging="720"/>
      </w:pPr>
      <w:rPr>
        <w:rFonts w:hint="default"/>
      </w:rPr>
    </w:lvl>
    <w:lvl w:ilvl="3" w:tplc="CAD251D6">
      <w:numFmt w:val="bullet"/>
      <w:lvlText w:val="•"/>
      <w:lvlJc w:val="left"/>
      <w:pPr>
        <w:ind w:left="5818" w:hanging="720"/>
      </w:pPr>
      <w:rPr>
        <w:rFonts w:hint="default"/>
      </w:rPr>
    </w:lvl>
    <w:lvl w:ilvl="4" w:tplc="F940A504">
      <w:numFmt w:val="bullet"/>
      <w:lvlText w:val="•"/>
      <w:lvlJc w:val="left"/>
      <w:pPr>
        <w:ind w:left="6364" w:hanging="720"/>
      </w:pPr>
      <w:rPr>
        <w:rFonts w:hint="default"/>
      </w:rPr>
    </w:lvl>
    <w:lvl w:ilvl="5" w:tplc="39A27884">
      <w:numFmt w:val="bullet"/>
      <w:lvlText w:val="•"/>
      <w:lvlJc w:val="left"/>
      <w:pPr>
        <w:ind w:left="6910" w:hanging="720"/>
      </w:pPr>
      <w:rPr>
        <w:rFonts w:hint="default"/>
      </w:rPr>
    </w:lvl>
    <w:lvl w:ilvl="6" w:tplc="E69A5D3C">
      <w:numFmt w:val="bullet"/>
      <w:lvlText w:val="•"/>
      <w:lvlJc w:val="left"/>
      <w:pPr>
        <w:ind w:left="7456" w:hanging="720"/>
      </w:pPr>
      <w:rPr>
        <w:rFonts w:hint="default"/>
      </w:rPr>
    </w:lvl>
    <w:lvl w:ilvl="7" w:tplc="3E7EB09A">
      <w:numFmt w:val="bullet"/>
      <w:lvlText w:val="•"/>
      <w:lvlJc w:val="left"/>
      <w:pPr>
        <w:ind w:left="8002" w:hanging="720"/>
      </w:pPr>
      <w:rPr>
        <w:rFonts w:hint="default"/>
      </w:rPr>
    </w:lvl>
    <w:lvl w:ilvl="8" w:tplc="726C098E">
      <w:numFmt w:val="bullet"/>
      <w:lvlText w:val="•"/>
      <w:lvlJc w:val="left"/>
      <w:pPr>
        <w:ind w:left="8548" w:hanging="720"/>
      </w:pPr>
      <w:rPr>
        <w:rFonts w:hint="default"/>
      </w:rPr>
    </w:lvl>
  </w:abstractNum>
  <w:abstractNum w:abstractNumId="4" w15:restartNumberingAfterBreak="0">
    <w:nsid w:val="69326858"/>
    <w:multiLevelType w:val="hybridMultilevel"/>
    <w:tmpl w:val="7256E612"/>
    <w:lvl w:ilvl="0" w:tplc="D270A0A0">
      <w:start w:val="1"/>
      <w:numFmt w:val="upperRoman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8EF029D6">
      <w:start w:val="1"/>
      <w:numFmt w:val="upperLetter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 w:tplc="6F521BFE">
      <w:start w:val="1"/>
      <w:numFmt w:val="decimal"/>
      <w:lvlText w:val="%3."/>
      <w:lvlJc w:val="left"/>
      <w:pPr>
        <w:ind w:left="1900" w:hanging="360"/>
      </w:pPr>
      <w:rPr>
        <w:rFonts w:hint="default"/>
        <w:b/>
        <w:bCs/>
        <w:spacing w:val="-2"/>
        <w:w w:val="99"/>
      </w:rPr>
    </w:lvl>
    <w:lvl w:ilvl="3" w:tplc="302A3442"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14B6CC2A">
      <w:numFmt w:val="bullet"/>
      <w:lvlText w:val="•"/>
      <w:lvlJc w:val="left"/>
      <w:pPr>
        <w:ind w:left="3005" w:hanging="360"/>
      </w:pPr>
      <w:rPr>
        <w:rFonts w:hint="default"/>
      </w:rPr>
    </w:lvl>
    <w:lvl w:ilvl="5" w:tplc="11401D90">
      <w:numFmt w:val="bullet"/>
      <w:lvlText w:val="•"/>
      <w:lvlJc w:val="left"/>
      <w:pPr>
        <w:ind w:left="4111" w:hanging="360"/>
      </w:pPr>
      <w:rPr>
        <w:rFonts w:hint="default"/>
      </w:rPr>
    </w:lvl>
    <w:lvl w:ilvl="6" w:tplc="7C2AD144">
      <w:numFmt w:val="bullet"/>
      <w:lvlText w:val="•"/>
      <w:lvlJc w:val="left"/>
      <w:pPr>
        <w:ind w:left="5217" w:hanging="360"/>
      </w:pPr>
      <w:rPr>
        <w:rFonts w:hint="default"/>
      </w:rPr>
    </w:lvl>
    <w:lvl w:ilvl="7" w:tplc="AD74D0BC">
      <w:numFmt w:val="bullet"/>
      <w:lvlText w:val="•"/>
      <w:lvlJc w:val="left"/>
      <w:pPr>
        <w:ind w:left="6322" w:hanging="360"/>
      </w:pPr>
      <w:rPr>
        <w:rFonts w:hint="default"/>
      </w:rPr>
    </w:lvl>
    <w:lvl w:ilvl="8" w:tplc="559E2778">
      <w:numFmt w:val="bullet"/>
      <w:lvlText w:val="•"/>
      <w:lvlJc w:val="left"/>
      <w:pPr>
        <w:ind w:left="7428" w:hanging="360"/>
      </w:pPr>
      <w:rPr>
        <w:rFonts w:hint="default"/>
      </w:rPr>
    </w:lvl>
  </w:abstractNum>
  <w:abstractNum w:abstractNumId="5" w15:restartNumberingAfterBreak="0">
    <w:nsid w:val="6BBC5C2B"/>
    <w:multiLevelType w:val="hybridMultilevel"/>
    <w:tmpl w:val="67C6B196"/>
    <w:lvl w:ilvl="0" w:tplc="495E30F4">
      <w:start w:val="18"/>
      <w:numFmt w:val="decimal"/>
      <w:lvlText w:val="%1."/>
      <w:lvlJc w:val="left"/>
      <w:pPr>
        <w:ind w:left="10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72AE0F22">
      <w:start w:val="3"/>
      <w:numFmt w:val="decimal"/>
      <w:lvlText w:val="%2."/>
      <w:lvlJc w:val="left"/>
      <w:pPr>
        <w:ind w:left="190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 w:tplc="D1A689B2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E93EB5F4">
      <w:numFmt w:val="bullet"/>
      <w:lvlText w:val="•"/>
      <w:lvlJc w:val="left"/>
      <w:pPr>
        <w:ind w:left="3620" w:hanging="360"/>
      </w:pPr>
      <w:rPr>
        <w:rFonts w:hint="default"/>
      </w:rPr>
    </w:lvl>
    <w:lvl w:ilvl="4" w:tplc="C5106BEE"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27BE01B6">
      <w:numFmt w:val="bullet"/>
      <w:lvlText w:val="•"/>
      <w:lvlJc w:val="left"/>
      <w:pPr>
        <w:ind w:left="5340" w:hanging="360"/>
      </w:pPr>
      <w:rPr>
        <w:rFonts w:hint="default"/>
      </w:rPr>
    </w:lvl>
    <w:lvl w:ilvl="6" w:tplc="187EF21A">
      <w:numFmt w:val="bullet"/>
      <w:lvlText w:val="•"/>
      <w:lvlJc w:val="left"/>
      <w:pPr>
        <w:ind w:left="6200" w:hanging="360"/>
      </w:pPr>
      <w:rPr>
        <w:rFonts w:hint="default"/>
      </w:rPr>
    </w:lvl>
    <w:lvl w:ilvl="7" w:tplc="52C84264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6C1491FA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6" w15:restartNumberingAfterBreak="0">
    <w:nsid w:val="73AD02B4"/>
    <w:multiLevelType w:val="hybridMultilevel"/>
    <w:tmpl w:val="9F5AD368"/>
    <w:lvl w:ilvl="0" w:tplc="ED0C77CC">
      <w:start w:val="1"/>
      <w:numFmt w:val="decimal"/>
      <w:lvlText w:val="(%1)"/>
      <w:lvlJc w:val="left"/>
      <w:pPr>
        <w:ind w:left="100" w:hanging="3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19A1BA0">
      <w:numFmt w:val="bullet"/>
      <w:lvlText w:val="•"/>
      <w:lvlJc w:val="left"/>
      <w:pPr>
        <w:ind w:left="1054" w:hanging="341"/>
      </w:pPr>
      <w:rPr>
        <w:rFonts w:hint="default"/>
      </w:rPr>
    </w:lvl>
    <w:lvl w:ilvl="2" w:tplc="0F96691A">
      <w:numFmt w:val="bullet"/>
      <w:lvlText w:val="•"/>
      <w:lvlJc w:val="left"/>
      <w:pPr>
        <w:ind w:left="2008" w:hanging="341"/>
      </w:pPr>
      <w:rPr>
        <w:rFonts w:hint="default"/>
      </w:rPr>
    </w:lvl>
    <w:lvl w:ilvl="3" w:tplc="923EFB5E">
      <w:numFmt w:val="bullet"/>
      <w:lvlText w:val="•"/>
      <w:lvlJc w:val="left"/>
      <w:pPr>
        <w:ind w:left="2962" w:hanging="341"/>
      </w:pPr>
      <w:rPr>
        <w:rFonts w:hint="default"/>
      </w:rPr>
    </w:lvl>
    <w:lvl w:ilvl="4" w:tplc="E252ECCC">
      <w:numFmt w:val="bullet"/>
      <w:lvlText w:val="•"/>
      <w:lvlJc w:val="left"/>
      <w:pPr>
        <w:ind w:left="3916" w:hanging="341"/>
      </w:pPr>
      <w:rPr>
        <w:rFonts w:hint="default"/>
      </w:rPr>
    </w:lvl>
    <w:lvl w:ilvl="5" w:tplc="F2D2EDBC">
      <w:numFmt w:val="bullet"/>
      <w:lvlText w:val="•"/>
      <w:lvlJc w:val="left"/>
      <w:pPr>
        <w:ind w:left="4870" w:hanging="341"/>
      </w:pPr>
      <w:rPr>
        <w:rFonts w:hint="default"/>
      </w:rPr>
    </w:lvl>
    <w:lvl w:ilvl="6" w:tplc="059A6654">
      <w:numFmt w:val="bullet"/>
      <w:lvlText w:val="•"/>
      <w:lvlJc w:val="left"/>
      <w:pPr>
        <w:ind w:left="5824" w:hanging="341"/>
      </w:pPr>
      <w:rPr>
        <w:rFonts w:hint="default"/>
      </w:rPr>
    </w:lvl>
    <w:lvl w:ilvl="7" w:tplc="18F26D12">
      <w:numFmt w:val="bullet"/>
      <w:lvlText w:val="•"/>
      <w:lvlJc w:val="left"/>
      <w:pPr>
        <w:ind w:left="6778" w:hanging="341"/>
      </w:pPr>
      <w:rPr>
        <w:rFonts w:hint="default"/>
      </w:rPr>
    </w:lvl>
    <w:lvl w:ilvl="8" w:tplc="E230E2C2">
      <w:numFmt w:val="bullet"/>
      <w:lvlText w:val="•"/>
      <w:lvlJc w:val="left"/>
      <w:pPr>
        <w:ind w:left="7732" w:hanging="34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3E"/>
    <w:rsid w:val="000102D6"/>
    <w:rsid w:val="000453AD"/>
    <w:rsid w:val="000538F9"/>
    <w:rsid w:val="00054751"/>
    <w:rsid w:val="00070EEC"/>
    <w:rsid w:val="00071347"/>
    <w:rsid w:val="000760EA"/>
    <w:rsid w:val="00087B56"/>
    <w:rsid w:val="000C2BFF"/>
    <w:rsid w:val="000C617D"/>
    <w:rsid w:val="000C639D"/>
    <w:rsid w:val="000D5885"/>
    <w:rsid w:val="000E5DD9"/>
    <w:rsid w:val="000F7D71"/>
    <w:rsid w:val="00103FDE"/>
    <w:rsid w:val="0011584B"/>
    <w:rsid w:val="0013005E"/>
    <w:rsid w:val="00132BF1"/>
    <w:rsid w:val="00146165"/>
    <w:rsid w:val="00166156"/>
    <w:rsid w:val="00166D42"/>
    <w:rsid w:val="00175422"/>
    <w:rsid w:val="00187276"/>
    <w:rsid w:val="001961CB"/>
    <w:rsid w:val="001C521A"/>
    <w:rsid w:val="001C7C02"/>
    <w:rsid w:val="001D251D"/>
    <w:rsid w:val="001D4247"/>
    <w:rsid w:val="001E173A"/>
    <w:rsid w:val="001E51AE"/>
    <w:rsid w:val="001F10FA"/>
    <w:rsid w:val="001F7BC7"/>
    <w:rsid w:val="00221EFF"/>
    <w:rsid w:val="00237D88"/>
    <w:rsid w:val="00240219"/>
    <w:rsid w:val="00254B8B"/>
    <w:rsid w:val="0026541B"/>
    <w:rsid w:val="0026624C"/>
    <w:rsid w:val="002771BE"/>
    <w:rsid w:val="002813FB"/>
    <w:rsid w:val="002834F7"/>
    <w:rsid w:val="00290607"/>
    <w:rsid w:val="002B27D5"/>
    <w:rsid w:val="002D4CF4"/>
    <w:rsid w:val="002D60A0"/>
    <w:rsid w:val="002D7509"/>
    <w:rsid w:val="002E5CB3"/>
    <w:rsid w:val="002F7778"/>
    <w:rsid w:val="003115FC"/>
    <w:rsid w:val="00314710"/>
    <w:rsid w:val="00352245"/>
    <w:rsid w:val="00352310"/>
    <w:rsid w:val="003732FB"/>
    <w:rsid w:val="00385A95"/>
    <w:rsid w:val="00397DBA"/>
    <w:rsid w:val="003B49D7"/>
    <w:rsid w:val="003B689C"/>
    <w:rsid w:val="003B6E5E"/>
    <w:rsid w:val="003C054A"/>
    <w:rsid w:val="003D1822"/>
    <w:rsid w:val="00407706"/>
    <w:rsid w:val="00436886"/>
    <w:rsid w:val="00443FD1"/>
    <w:rsid w:val="00445373"/>
    <w:rsid w:val="004515DE"/>
    <w:rsid w:val="004712F3"/>
    <w:rsid w:val="004871E5"/>
    <w:rsid w:val="004C69A7"/>
    <w:rsid w:val="004E6F6D"/>
    <w:rsid w:val="004E7F59"/>
    <w:rsid w:val="00500E75"/>
    <w:rsid w:val="0050540B"/>
    <w:rsid w:val="00515C57"/>
    <w:rsid w:val="005209B0"/>
    <w:rsid w:val="00553289"/>
    <w:rsid w:val="00553B82"/>
    <w:rsid w:val="00557DCB"/>
    <w:rsid w:val="00563A3B"/>
    <w:rsid w:val="00566CDE"/>
    <w:rsid w:val="00582E97"/>
    <w:rsid w:val="00597DB1"/>
    <w:rsid w:val="005A19CF"/>
    <w:rsid w:val="005C10D1"/>
    <w:rsid w:val="005C5DE2"/>
    <w:rsid w:val="005E480F"/>
    <w:rsid w:val="005F1580"/>
    <w:rsid w:val="005F48D3"/>
    <w:rsid w:val="005F746C"/>
    <w:rsid w:val="0060494A"/>
    <w:rsid w:val="00616FFD"/>
    <w:rsid w:val="00630C8A"/>
    <w:rsid w:val="00646FDF"/>
    <w:rsid w:val="00655178"/>
    <w:rsid w:val="0066058D"/>
    <w:rsid w:val="00664A95"/>
    <w:rsid w:val="00677D0B"/>
    <w:rsid w:val="00680821"/>
    <w:rsid w:val="006B2301"/>
    <w:rsid w:val="006B3CF1"/>
    <w:rsid w:val="006C76C0"/>
    <w:rsid w:val="006E0ADB"/>
    <w:rsid w:val="006F07C4"/>
    <w:rsid w:val="007235BE"/>
    <w:rsid w:val="00736F5B"/>
    <w:rsid w:val="00750DF9"/>
    <w:rsid w:val="00757E63"/>
    <w:rsid w:val="00772FC9"/>
    <w:rsid w:val="00776FB1"/>
    <w:rsid w:val="0079498D"/>
    <w:rsid w:val="007C3ECA"/>
    <w:rsid w:val="007F12FA"/>
    <w:rsid w:val="00817329"/>
    <w:rsid w:val="008316AB"/>
    <w:rsid w:val="008405CD"/>
    <w:rsid w:val="0086179F"/>
    <w:rsid w:val="008827BD"/>
    <w:rsid w:val="0089203C"/>
    <w:rsid w:val="008D7C65"/>
    <w:rsid w:val="008E66A1"/>
    <w:rsid w:val="00910B1D"/>
    <w:rsid w:val="00921DBB"/>
    <w:rsid w:val="00924CE9"/>
    <w:rsid w:val="00927565"/>
    <w:rsid w:val="00935A3D"/>
    <w:rsid w:val="009D09CE"/>
    <w:rsid w:val="009D5979"/>
    <w:rsid w:val="009E1CD9"/>
    <w:rsid w:val="009E21ED"/>
    <w:rsid w:val="009E685F"/>
    <w:rsid w:val="009F7EE7"/>
    <w:rsid w:val="00A173FF"/>
    <w:rsid w:val="00A24B77"/>
    <w:rsid w:val="00A40A43"/>
    <w:rsid w:val="00A43B0C"/>
    <w:rsid w:val="00A520B8"/>
    <w:rsid w:val="00A601D2"/>
    <w:rsid w:val="00A76110"/>
    <w:rsid w:val="00A80275"/>
    <w:rsid w:val="00A82D36"/>
    <w:rsid w:val="00AA1F65"/>
    <w:rsid w:val="00AB6544"/>
    <w:rsid w:val="00AC148B"/>
    <w:rsid w:val="00AD6257"/>
    <w:rsid w:val="00AD77BB"/>
    <w:rsid w:val="00B12462"/>
    <w:rsid w:val="00BD7E02"/>
    <w:rsid w:val="00BF1C1D"/>
    <w:rsid w:val="00BF4741"/>
    <w:rsid w:val="00C32503"/>
    <w:rsid w:val="00C6169F"/>
    <w:rsid w:val="00C62A50"/>
    <w:rsid w:val="00C65320"/>
    <w:rsid w:val="00C8597A"/>
    <w:rsid w:val="00C96819"/>
    <w:rsid w:val="00CA5041"/>
    <w:rsid w:val="00CA5250"/>
    <w:rsid w:val="00CA76B4"/>
    <w:rsid w:val="00CC649B"/>
    <w:rsid w:val="00D10121"/>
    <w:rsid w:val="00D32425"/>
    <w:rsid w:val="00D34BB3"/>
    <w:rsid w:val="00D40278"/>
    <w:rsid w:val="00D76858"/>
    <w:rsid w:val="00D87458"/>
    <w:rsid w:val="00D912D2"/>
    <w:rsid w:val="00D94F7B"/>
    <w:rsid w:val="00DB4A9D"/>
    <w:rsid w:val="00DC0EC6"/>
    <w:rsid w:val="00DE4DC6"/>
    <w:rsid w:val="00E501CD"/>
    <w:rsid w:val="00E604FA"/>
    <w:rsid w:val="00E75D72"/>
    <w:rsid w:val="00E859AE"/>
    <w:rsid w:val="00E95A3C"/>
    <w:rsid w:val="00EB3D13"/>
    <w:rsid w:val="00EB7D0C"/>
    <w:rsid w:val="00EF67A7"/>
    <w:rsid w:val="00F1505C"/>
    <w:rsid w:val="00F22C3E"/>
    <w:rsid w:val="00F319E8"/>
    <w:rsid w:val="00F31B28"/>
    <w:rsid w:val="00F32209"/>
    <w:rsid w:val="00F3225A"/>
    <w:rsid w:val="00F45F17"/>
    <w:rsid w:val="00F54243"/>
    <w:rsid w:val="00F57960"/>
    <w:rsid w:val="00F669D7"/>
    <w:rsid w:val="00F875DD"/>
    <w:rsid w:val="00FA36E2"/>
    <w:rsid w:val="00FA4624"/>
    <w:rsid w:val="00FA5FEF"/>
    <w:rsid w:val="00FB2F47"/>
    <w:rsid w:val="00FC4CD6"/>
    <w:rsid w:val="00FE76B1"/>
    <w:rsid w:val="00FF6A49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4BA8E7"/>
  <w15:docId w15:val="{97AA8BBF-FD8E-8141-A5E0-E51B8F3D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900" w:hanging="36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6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36F5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36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F5B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5B"/>
    <w:rPr>
      <w:rFonts w:ascii="Times New Roman" w:eastAsia="Times New Roman" w:hAnsi="Times New Roman" w:cs="Times New Roman"/>
      <w:sz w:val="26"/>
      <w:szCs w:val="26"/>
    </w:rPr>
  </w:style>
  <w:style w:type="character" w:customStyle="1" w:styleId="ssit">
    <w:name w:val="ss_it"/>
    <w:basedOn w:val="DefaultParagraphFont"/>
    <w:rsid w:val="00FA5FEF"/>
  </w:style>
  <w:style w:type="character" w:customStyle="1" w:styleId="BodyTextChar">
    <w:name w:val="Body Text Char"/>
    <w:basedOn w:val="DefaultParagraphFont"/>
    <w:link w:val="BodyText"/>
    <w:uiPriority w:val="1"/>
    <w:rsid w:val="00221EF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4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7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7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7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6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9A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9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0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299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63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EA5F-465D-4582-94E0-9219F49D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Vargas</dc:creator>
  <cp:lastModifiedBy>Andrew Wachtenheim</cp:lastModifiedBy>
  <cp:revision>4</cp:revision>
  <cp:lastPrinted>2018-04-24T05:43:00Z</cp:lastPrinted>
  <dcterms:created xsi:type="dcterms:W3CDTF">2018-07-03T22:57:00Z</dcterms:created>
  <dcterms:modified xsi:type="dcterms:W3CDTF">2018-07-03T23:00:00Z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Adobe Acrobat Pro 10.0.0</vt:lpwstr>
  </property>
  <property fmtid="{D5CDD505-2E9C-101B-9397-08002B2CF9AE}" pid="4" name="LastSaved">
    <vt:filetime>2018-04-23T00:00:00Z</vt:filetime>
  </property>
</Properties>
</file>